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77D6B2" w14:textId="5EEE6694" w:rsidR="00506F70" w:rsidRDefault="00506F70" w:rsidP="001100B7">
      <w:pPr>
        <w:pStyle w:val="Ttulo1"/>
        <w:spacing w:line="276" w:lineRule="auto"/>
        <w:rPr>
          <w:rFonts w:ascii="Arial" w:hAnsi="Arial" w:cs="Arial"/>
          <w:b/>
          <w:bCs/>
          <w:sz w:val="24"/>
        </w:rPr>
      </w:pPr>
    </w:p>
    <w:p w14:paraId="44FDFC10" w14:textId="7AE23213" w:rsidR="00506F70" w:rsidRPr="00506F70" w:rsidRDefault="006D6D19" w:rsidP="00506F70">
      <w:pPr>
        <w:rPr>
          <w:lang w:val="es-ES" w:eastAsia="es-ES"/>
        </w:rPr>
      </w:pPr>
      <w:r w:rsidRPr="009D0542">
        <w:rPr>
          <w:rFonts w:ascii="Arial" w:hAnsi="Arial" w:cs="Arial"/>
          <w:b/>
          <w:noProof/>
          <w:szCs w:val="24"/>
        </w:rPr>
        <w:drawing>
          <wp:anchor distT="0" distB="0" distL="114300" distR="114300" simplePos="0" relativeHeight="251657216" behindDoc="0" locked="0" layoutInCell="1" allowOverlap="1" wp14:anchorId="2C785831" wp14:editId="37394D46">
            <wp:simplePos x="0" y="0"/>
            <wp:positionH relativeFrom="margin">
              <wp:posOffset>4691932</wp:posOffset>
            </wp:positionH>
            <wp:positionV relativeFrom="margin">
              <wp:posOffset>438713</wp:posOffset>
            </wp:positionV>
            <wp:extent cx="1224000" cy="1224000"/>
            <wp:effectExtent l="0" t="0" r="0" b="0"/>
            <wp:wrapSquare wrapText="bothSides"/>
            <wp:docPr id="3" name="Imagen 3" descr="FRENA Oficial (@OficialFrenaaa)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ENA Oficial (@OficialFrenaaa) | Twitt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4000" cy="122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AA7B981" w14:textId="3A8AA455" w:rsidR="001100B7" w:rsidRPr="00EF2874" w:rsidRDefault="002A06EC" w:rsidP="001100B7">
      <w:pPr>
        <w:pStyle w:val="Ttulo1"/>
        <w:spacing w:line="276" w:lineRule="auto"/>
        <w:rPr>
          <w:rFonts w:ascii="Arial" w:hAnsi="Arial" w:cs="Arial"/>
          <w:b/>
          <w:bCs/>
          <w:sz w:val="24"/>
        </w:rPr>
      </w:pPr>
      <w:r w:rsidRPr="00EF2874">
        <w:rPr>
          <w:rFonts w:ascii="Arial" w:hAnsi="Arial" w:cs="Arial"/>
          <w:b/>
          <w:bCs/>
          <w:sz w:val="24"/>
        </w:rPr>
        <w:t xml:space="preserve">JUEZ DE DISTRITO EN </w:t>
      </w:r>
      <w:r w:rsidR="007F1A5E" w:rsidRPr="00EF2874">
        <w:rPr>
          <w:rFonts w:ascii="Arial" w:hAnsi="Arial" w:cs="Arial"/>
          <w:b/>
          <w:bCs/>
          <w:sz w:val="24"/>
        </w:rPr>
        <w:t>MATERIA ADMINISTRATIVA</w:t>
      </w:r>
    </w:p>
    <w:p w14:paraId="2F8455FE" w14:textId="32F2F509" w:rsidR="002A06EC" w:rsidRPr="00EF2874" w:rsidRDefault="00955115" w:rsidP="00F877A2">
      <w:pPr>
        <w:pStyle w:val="Ttulo1"/>
        <w:spacing w:line="276" w:lineRule="auto"/>
        <w:rPr>
          <w:rFonts w:ascii="Arial" w:hAnsi="Arial" w:cs="Arial"/>
          <w:b/>
          <w:bCs/>
          <w:sz w:val="24"/>
        </w:rPr>
      </w:pPr>
      <w:r>
        <w:rPr>
          <w:rFonts w:ascii="Arial" w:hAnsi="Arial" w:cs="Arial"/>
          <w:b/>
          <w:bCs/>
          <w:sz w:val="24"/>
        </w:rPr>
        <w:t>EN EL</w:t>
      </w:r>
      <w:r w:rsidR="002A06EC" w:rsidRPr="00EF2874">
        <w:rPr>
          <w:rFonts w:ascii="Arial" w:hAnsi="Arial" w:cs="Arial"/>
          <w:b/>
          <w:bCs/>
          <w:sz w:val="24"/>
        </w:rPr>
        <w:t xml:space="preserve"> ESTADO D</w:t>
      </w:r>
      <w:r w:rsidR="001100B7">
        <w:rPr>
          <w:rFonts w:ascii="Arial" w:hAnsi="Arial" w:cs="Arial"/>
          <w:b/>
          <w:bCs/>
          <w:sz w:val="24"/>
        </w:rPr>
        <w:t>E</w:t>
      </w:r>
      <w:r w:rsidR="00580E7A">
        <w:rPr>
          <w:rFonts w:ascii="Arial" w:hAnsi="Arial" w:cs="Arial"/>
          <w:b/>
          <w:bCs/>
          <w:sz w:val="24"/>
        </w:rPr>
        <w:t xml:space="preserve"> </w:t>
      </w:r>
      <w:r>
        <w:rPr>
          <w:rFonts w:ascii="Arial" w:hAnsi="Arial" w:cs="Arial"/>
          <w:b/>
          <w:bCs/>
          <w:sz w:val="24"/>
        </w:rPr>
        <w:t>________________</w:t>
      </w:r>
      <w:r w:rsidR="004D47B6" w:rsidRPr="00EF2874">
        <w:rPr>
          <w:rFonts w:ascii="Arial" w:hAnsi="Arial" w:cs="Arial"/>
          <w:b/>
          <w:bCs/>
          <w:sz w:val="24"/>
        </w:rPr>
        <w:t>, EN TURNO</w:t>
      </w:r>
    </w:p>
    <w:p w14:paraId="02E3B9BC" w14:textId="77777777" w:rsidR="002A06EC" w:rsidRPr="00EF2874" w:rsidRDefault="007F1A5E" w:rsidP="00F877A2">
      <w:pPr>
        <w:pStyle w:val="Ttulo1"/>
        <w:spacing w:line="276" w:lineRule="auto"/>
        <w:rPr>
          <w:rFonts w:ascii="Arial" w:hAnsi="Arial" w:cs="Arial"/>
          <w:b/>
          <w:bCs/>
          <w:sz w:val="24"/>
        </w:rPr>
      </w:pPr>
      <w:r w:rsidRPr="00EF2874">
        <w:rPr>
          <w:rFonts w:ascii="Arial" w:hAnsi="Arial" w:cs="Arial"/>
          <w:b/>
          <w:bCs/>
          <w:sz w:val="24"/>
        </w:rPr>
        <w:t xml:space="preserve">P </w:t>
      </w:r>
      <w:proofErr w:type="gramStart"/>
      <w:r w:rsidRPr="00EF2874">
        <w:rPr>
          <w:rFonts w:ascii="Arial" w:hAnsi="Arial" w:cs="Arial"/>
          <w:b/>
          <w:bCs/>
          <w:sz w:val="24"/>
        </w:rPr>
        <w:t>R</w:t>
      </w:r>
      <w:r w:rsidR="002A06EC" w:rsidRPr="00EF2874">
        <w:rPr>
          <w:rFonts w:ascii="Arial" w:hAnsi="Arial" w:cs="Arial"/>
          <w:b/>
          <w:bCs/>
          <w:sz w:val="24"/>
        </w:rPr>
        <w:t xml:space="preserve">  E</w:t>
      </w:r>
      <w:proofErr w:type="gramEnd"/>
      <w:r w:rsidR="002A06EC" w:rsidRPr="00EF2874">
        <w:rPr>
          <w:rFonts w:ascii="Arial" w:hAnsi="Arial" w:cs="Arial"/>
          <w:b/>
          <w:bCs/>
          <w:sz w:val="24"/>
        </w:rPr>
        <w:t xml:space="preserve">  S  E  N  T  E</w:t>
      </w:r>
    </w:p>
    <w:p w14:paraId="75590735" w14:textId="77777777" w:rsidR="00A54F6C" w:rsidRPr="00EF2874" w:rsidRDefault="00A54F6C" w:rsidP="00F877A2">
      <w:pPr>
        <w:pStyle w:val="Ttulo1"/>
        <w:spacing w:line="276" w:lineRule="auto"/>
        <w:rPr>
          <w:rFonts w:ascii="Arial" w:hAnsi="Arial" w:cs="Arial"/>
          <w:b/>
          <w:bCs/>
          <w:sz w:val="24"/>
        </w:rPr>
      </w:pPr>
    </w:p>
    <w:p w14:paraId="04E9B054" w14:textId="5101997D" w:rsidR="00506F70" w:rsidRDefault="00506F70" w:rsidP="000E7DD4">
      <w:pPr>
        <w:spacing w:after="0"/>
        <w:ind w:firstLine="708"/>
        <w:jc w:val="both"/>
        <w:rPr>
          <w:rFonts w:ascii="Arial" w:hAnsi="Arial" w:cs="Arial"/>
          <w:b/>
          <w:sz w:val="24"/>
          <w:szCs w:val="24"/>
        </w:rPr>
      </w:pPr>
    </w:p>
    <w:p w14:paraId="452D2D7D" w14:textId="25068EE4" w:rsidR="00DE4EC0" w:rsidRDefault="001A1EEF" w:rsidP="001A1EEF">
      <w:pPr>
        <w:spacing w:after="0" w:line="360" w:lineRule="auto"/>
        <w:ind w:firstLine="708"/>
        <w:jc w:val="both"/>
        <w:rPr>
          <w:rFonts w:ascii="Arial" w:hAnsi="Arial" w:cs="Arial"/>
          <w:sz w:val="24"/>
          <w:szCs w:val="24"/>
        </w:rPr>
      </w:pPr>
      <w:r>
        <w:rPr>
          <w:rFonts w:ascii="Arial" w:hAnsi="Arial" w:cs="Arial"/>
          <w:b/>
          <w:sz w:val="24"/>
          <w:szCs w:val="24"/>
        </w:rPr>
        <w:t xml:space="preserve">           </w:t>
      </w:r>
      <w:r w:rsidR="00A76FBE">
        <w:rPr>
          <w:rFonts w:ascii="Arial" w:hAnsi="Arial" w:cs="Arial"/>
          <w:b/>
          <w:sz w:val="24"/>
          <w:szCs w:val="24"/>
        </w:rPr>
        <w:t>_______________________________</w:t>
      </w:r>
      <w:r>
        <w:rPr>
          <w:rFonts w:ascii="Arial" w:hAnsi="Arial" w:cs="Arial"/>
          <w:b/>
          <w:sz w:val="24"/>
          <w:szCs w:val="24"/>
        </w:rPr>
        <w:t>__________</w:t>
      </w:r>
      <w:r w:rsidR="00580E7A">
        <w:rPr>
          <w:rFonts w:ascii="Arial" w:hAnsi="Arial" w:cs="Arial"/>
          <w:b/>
          <w:sz w:val="24"/>
          <w:szCs w:val="24"/>
        </w:rPr>
        <w:t>,</w:t>
      </w:r>
      <w:r w:rsidR="00A76FBE">
        <w:rPr>
          <w:rFonts w:ascii="Arial" w:hAnsi="Arial" w:cs="Arial"/>
          <w:b/>
          <w:sz w:val="24"/>
          <w:szCs w:val="24"/>
        </w:rPr>
        <w:t xml:space="preserve"> ______________________________</w:t>
      </w:r>
      <w:r w:rsidR="00EE25C0">
        <w:rPr>
          <w:rFonts w:ascii="Arial" w:hAnsi="Arial" w:cs="Arial"/>
          <w:b/>
          <w:sz w:val="24"/>
          <w:szCs w:val="24"/>
        </w:rPr>
        <w:t>__ ,</w:t>
      </w:r>
      <w:r w:rsidR="00A76FBE">
        <w:rPr>
          <w:rFonts w:ascii="Arial" w:hAnsi="Arial" w:cs="Arial"/>
          <w:b/>
          <w:sz w:val="24"/>
          <w:szCs w:val="24"/>
        </w:rPr>
        <w:t xml:space="preserve"> ___________________________________</w:t>
      </w:r>
      <w:r w:rsidR="00EE25C0">
        <w:rPr>
          <w:rFonts w:ascii="Arial" w:hAnsi="Arial" w:cs="Arial"/>
          <w:b/>
          <w:sz w:val="24"/>
          <w:szCs w:val="24"/>
        </w:rPr>
        <w:t xml:space="preserve"> </w:t>
      </w:r>
      <w:r w:rsidR="00EE25C0">
        <w:rPr>
          <w:rFonts w:ascii="Arial" w:hAnsi="Arial" w:cs="Arial"/>
          <w:bCs/>
          <w:sz w:val="24"/>
          <w:szCs w:val="24"/>
        </w:rPr>
        <w:t>y</w:t>
      </w:r>
      <w:r w:rsidR="00A76FBE">
        <w:rPr>
          <w:rFonts w:ascii="Arial" w:hAnsi="Arial" w:cs="Arial"/>
          <w:b/>
          <w:sz w:val="24"/>
          <w:szCs w:val="24"/>
        </w:rPr>
        <w:t xml:space="preserve"> </w:t>
      </w:r>
      <w:r w:rsidR="00EE25C0">
        <w:rPr>
          <w:rFonts w:ascii="Arial" w:hAnsi="Arial" w:cs="Arial"/>
          <w:b/>
          <w:sz w:val="24"/>
          <w:szCs w:val="24"/>
        </w:rPr>
        <w:t>________________________________</w:t>
      </w:r>
      <w:r w:rsidR="00C0302E">
        <w:rPr>
          <w:rFonts w:ascii="Arial" w:hAnsi="Arial" w:cs="Arial"/>
          <w:b/>
          <w:sz w:val="24"/>
          <w:szCs w:val="24"/>
        </w:rPr>
        <w:t xml:space="preserve"> </w:t>
      </w:r>
      <w:r w:rsidR="00C0302E" w:rsidRPr="00EF2874">
        <w:rPr>
          <w:rFonts w:ascii="Arial" w:hAnsi="Arial" w:cs="Arial"/>
          <w:sz w:val="24"/>
          <w:szCs w:val="24"/>
        </w:rPr>
        <w:t>mexicanos, mayor</w:t>
      </w:r>
      <w:r w:rsidR="00C0302E">
        <w:rPr>
          <w:rFonts w:ascii="Arial" w:hAnsi="Arial" w:cs="Arial"/>
          <w:sz w:val="24"/>
          <w:szCs w:val="24"/>
        </w:rPr>
        <w:t>es</w:t>
      </w:r>
      <w:r w:rsidR="00C0302E" w:rsidRPr="00EF2874">
        <w:rPr>
          <w:rFonts w:ascii="Arial" w:hAnsi="Arial" w:cs="Arial"/>
          <w:sz w:val="24"/>
          <w:szCs w:val="24"/>
        </w:rPr>
        <w:t xml:space="preserve"> de edad, </w:t>
      </w:r>
      <w:r w:rsidR="00C0302E">
        <w:rPr>
          <w:rFonts w:ascii="Arial" w:hAnsi="Arial" w:cs="Arial"/>
          <w:sz w:val="24"/>
          <w:szCs w:val="24"/>
        </w:rPr>
        <w:t xml:space="preserve">integrantes del </w:t>
      </w:r>
      <w:r w:rsidR="0076799C">
        <w:rPr>
          <w:rFonts w:ascii="Arial" w:hAnsi="Arial" w:cs="Arial"/>
          <w:sz w:val="24"/>
          <w:szCs w:val="24"/>
        </w:rPr>
        <w:t>Frente Nacional Ciudadano</w:t>
      </w:r>
      <w:r w:rsidR="00F33CFC">
        <w:rPr>
          <w:rFonts w:ascii="Arial" w:hAnsi="Arial" w:cs="Arial"/>
          <w:sz w:val="24"/>
          <w:szCs w:val="24"/>
        </w:rPr>
        <w:t xml:space="preserve"> (FRENA</w:t>
      </w:r>
      <w:r w:rsidR="0076799C">
        <w:rPr>
          <w:rFonts w:ascii="Arial" w:hAnsi="Arial" w:cs="Arial"/>
          <w:sz w:val="24"/>
          <w:szCs w:val="24"/>
        </w:rPr>
        <w:t>)</w:t>
      </w:r>
      <w:r w:rsidR="00F33CFC" w:rsidRPr="00F33CFC">
        <w:rPr>
          <w:rStyle w:val="Refdenotaalpie"/>
          <w:rFonts w:ascii="Arial" w:hAnsi="Arial" w:cs="Arial"/>
          <w:sz w:val="24"/>
          <w:szCs w:val="24"/>
        </w:rPr>
        <w:t xml:space="preserve"> </w:t>
      </w:r>
      <w:r w:rsidR="00F33CFC">
        <w:rPr>
          <w:rStyle w:val="Refdenotaalpie"/>
          <w:rFonts w:ascii="Arial" w:hAnsi="Arial" w:cs="Arial"/>
          <w:sz w:val="24"/>
          <w:szCs w:val="24"/>
        </w:rPr>
        <w:footnoteReference w:id="1"/>
      </w:r>
      <w:r w:rsidR="00DE4EC0">
        <w:rPr>
          <w:rStyle w:val="Refdenotaalpie"/>
          <w:rFonts w:ascii="Arial" w:hAnsi="Arial" w:cs="Arial"/>
          <w:sz w:val="24"/>
          <w:szCs w:val="24"/>
        </w:rPr>
        <w:t xml:space="preserve">, </w:t>
      </w:r>
      <w:r w:rsidR="00B20C90">
        <w:rPr>
          <w:rFonts w:ascii="Arial" w:hAnsi="Arial" w:cs="Arial"/>
          <w:sz w:val="24"/>
          <w:szCs w:val="24"/>
        </w:rPr>
        <w:t xml:space="preserve">somos </w:t>
      </w:r>
      <w:r w:rsidR="00DE4EC0">
        <w:rPr>
          <w:rFonts w:ascii="Arial" w:hAnsi="Arial" w:cs="Arial"/>
          <w:sz w:val="24"/>
          <w:szCs w:val="24"/>
        </w:rPr>
        <w:t>defensores de derechos humanos</w:t>
      </w:r>
      <w:r w:rsidR="00C0302E">
        <w:rPr>
          <w:rFonts w:ascii="Arial" w:hAnsi="Arial" w:cs="Arial"/>
          <w:sz w:val="24"/>
          <w:szCs w:val="24"/>
        </w:rPr>
        <w:t xml:space="preserve">; </w:t>
      </w:r>
      <w:r w:rsidR="00B20C90">
        <w:rPr>
          <w:rFonts w:ascii="Arial" w:hAnsi="Arial" w:cs="Arial"/>
          <w:sz w:val="24"/>
          <w:szCs w:val="24"/>
        </w:rPr>
        <w:t>y designamos</w:t>
      </w:r>
      <w:r w:rsidR="00C0302E">
        <w:rPr>
          <w:rFonts w:ascii="Arial" w:hAnsi="Arial" w:cs="Arial"/>
          <w:sz w:val="24"/>
          <w:szCs w:val="24"/>
        </w:rPr>
        <w:t xml:space="preserve"> como </w:t>
      </w:r>
      <w:r w:rsidR="00B20C90">
        <w:rPr>
          <w:rFonts w:ascii="Arial" w:hAnsi="Arial" w:cs="Arial"/>
          <w:sz w:val="24"/>
          <w:szCs w:val="24"/>
        </w:rPr>
        <w:t xml:space="preserve">nuestro </w:t>
      </w:r>
      <w:r w:rsidR="00C0302E">
        <w:rPr>
          <w:rFonts w:ascii="Arial" w:hAnsi="Arial" w:cs="Arial"/>
          <w:sz w:val="24"/>
          <w:szCs w:val="24"/>
        </w:rPr>
        <w:t>representante común de la parte quejosa a</w:t>
      </w:r>
      <w:r w:rsidR="0026096E">
        <w:rPr>
          <w:rFonts w:ascii="Arial" w:hAnsi="Arial" w:cs="Arial"/>
          <w:sz w:val="24"/>
          <w:szCs w:val="24"/>
        </w:rPr>
        <w:t xml:space="preserve"> </w:t>
      </w:r>
      <w:r w:rsidR="00C0302E">
        <w:rPr>
          <w:rFonts w:ascii="Arial" w:hAnsi="Arial" w:cs="Arial"/>
          <w:sz w:val="24"/>
          <w:szCs w:val="24"/>
        </w:rPr>
        <w:t>l</w:t>
      </w:r>
      <w:r w:rsidR="0026096E">
        <w:rPr>
          <w:rFonts w:ascii="Arial" w:hAnsi="Arial" w:cs="Arial"/>
          <w:sz w:val="24"/>
          <w:szCs w:val="24"/>
        </w:rPr>
        <w:t>a</w:t>
      </w:r>
      <w:r w:rsidR="00C0302E">
        <w:rPr>
          <w:rFonts w:ascii="Arial" w:hAnsi="Arial" w:cs="Arial"/>
          <w:sz w:val="24"/>
          <w:szCs w:val="24"/>
        </w:rPr>
        <w:t xml:space="preserve"> primer</w:t>
      </w:r>
      <w:r w:rsidR="0026096E">
        <w:rPr>
          <w:rFonts w:ascii="Arial" w:hAnsi="Arial" w:cs="Arial"/>
          <w:sz w:val="24"/>
          <w:szCs w:val="24"/>
        </w:rPr>
        <w:t xml:space="preserve">a </w:t>
      </w:r>
      <w:r w:rsidR="00B20C90">
        <w:rPr>
          <w:rFonts w:ascii="Arial" w:hAnsi="Arial" w:cs="Arial"/>
          <w:sz w:val="24"/>
          <w:szCs w:val="24"/>
        </w:rPr>
        <w:t xml:space="preserve">persona </w:t>
      </w:r>
      <w:r w:rsidR="0026096E">
        <w:rPr>
          <w:rFonts w:ascii="Arial" w:hAnsi="Arial" w:cs="Arial"/>
          <w:sz w:val="24"/>
          <w:szCs w:val="24"/>
        </w:rPr>
        <w:t>de lo</w:t>
      </w:r>
      <w:r w:rsidR="00C0302E">
        <w:rPr>
          <w:rFonts w:ascii="Arial" w:hAnsi="Arial" w:cs="Arial"/>
          <w:sz w:val="24"/>
          <w:szCs w:val="24"/>
        </w:rPr>
        <w:t xml:space="preserve">s </w:t>
      </w:r>
      <w:proofErr w:type="spellStart"/>
      <w:r w:rsidR="00C0302E">
        <w:rPr>
          <w:rFonts w:ascii="Arial" w:hAnsi="Arial" w:cs="Arial"/>
          <w:sz w:val="24"/>
          <w:szCs w:val="24"/>
        </w:rPr>
        <w:t>promoventes</w:t>
      </w:r>
      <w:proofErr w:type="spellEnd"/>
      <w:r w:rsidR="00C0302E">
        <w:rPr>
          <w:rFonts w:ascii="Arial" w:hAnsi="Arial" w:cs="Arial"/>
          <w:sz w:val="24"/>
          <w:szCs w:val="24"/>
        </w:rPr>
        <w:t xml:space="preserve">; </w:t>
      </w:r>
      <w:r w:rsidR="00C0302E" w:rsidRPr="00EF2874">
        <w:rPr>
          <w:rFonts w:ascii="Arial" w:hAnsi="Arial" w:cs="Arial"/>
          <w:sz w:val="24"/>
          <w:szCs w:val="24"/>
        </w:rPr>
        <w:t xml:space="preserve">señalando como domicilio </w:t>
      </w:r>
      <w:r w:rsidR="00C0302E">
        <w:rPr>
          <w:rFonts w:ascii="Arial" w:hAnsi="Arial" w:cs="Arial"/>
          <w:sz w:val="24"/>
          <w:szCs w:val="24"/>
        </w:rPr>
        <w:t>para recibir notificaciones</w:t>
      </w:r>
      <w:r w:rsidR="0036276A">
        <w:rPr>
          <w:rFonts w:ascii="Arial" w:hAnsi="Arial" w:cs="Arial"/>
          <w:sz w:val="24"/>
          <w:szCs w:val="24"/>
        </w:rPr>
        <w:t xml:space="preserve"> </w:t>
      </w:r>
      <w:r w:rsidR="00DE4EC0">
        <w:rPr>
          <w:rFonts w:ascii="Arial" w:hAnsi="Arial" w:cs="Arial"/>
          <w:sz w:val="24"/>
          <w:szCs w:val="24"/>
        </w:rPr>
        <w:t xml:space="preserve">(calle o </w:t>
      </w:r>
      <w:r w:rsidR="0036276A" w:rsidRPr="00200508">
        <w:rPr>
          <w:rFonts w:ascii="Arial" w:hAnsi="Arial" w:cs="Arial"/>
          <w:sz w:val="24"/>
          <w:szCs w:val="24"/>
        </w:rPr>
        <w:t>avenida</w:t>
      </w:r>
      <w:r w:rsidR="00DE4EC0">
        <w:rPr>
          <w:rFonts w:ascii="Arial" w:hAnsi="Arial" w:cs="Arial"/>
          <w:sz w:val="24"/>
          <w:szCs w:val="24"/>
        </w:rPr>
        <w:t xml:space="preserve"> y número</w:t>
      </w:r>
      <w:r w:rsidR="00200508">
        <w:rPr>
          <w:rFonts w:ascii="Arial" w:hAnsi="Arial" w:cs="Arial"/>
          <w:sz w:val="24"/>
          <w:szCs w:val="24"/>
        </w:rPr>
        <w:t>):</w:t>
      </w:r>
      <w:r w:rsidR="0036276A" w:rsidRPr="00200508">
        <w:rPr>
          <w:rFonts w:ascii="Arial" w:hAnsi="Arial" w:cs="Arial"/>
          <w:sz w:val="24"/>
          <w:szCs w:val="24"/>
        </w:rPr>
        <w:t xml:space="preserve"> </w:t>
      </w:r>
      <w:r w:rsidR="00A76FBE">
        <w:rPr>
          <w:rFonts w:ascii="Arial" w:hAnsi="Arial" w:cs="Arial"/>
          <w:sz w:val="24"/>
          <w:szCs w:val="24"/>
        </w:rPr>
        <w:t>____________________________________________</w:t>
      </w:r>
      <w:r w:rsidR="00200508">
        <w:rPr>
          <w:rFonts w:ascii="Arial" w:hAnsi="Arial" w:cs="Arial"/>
          <w:sz w:val="24"/>
          <w:szCs w:val="24"/>
        </w:rPr>
        <w:t>_____</w:t>
      </w:r>
      <w:r w:rsidR="00DE4EC0">
        <w:rPr>
          <w:rFonts w:ascii="Arial" w:hAnsi="Arial" w:cs="Arial"/>
          <w:sz w:val="24"/>
          <w:szCs w:val="24"/>
        </w:rPr>
        <w:t>_____________</w:t>
      </w:r>
    </w:p>
    <w:p w14:paraId="3A457C6E" w14:textId="0D90D68B" w:rsidR="00C0302E" w:rsidRPr="00EF2874" w:rsidRDefault="00200508" w:rsidP="00DE4EC0">
      <w:pPr>
        <w:spacing w:after="0"/>
        <w:jc w:val="both"/>
        <w:rPr>
          <w:rFonts w:ascii="Arial" w:hAnsi="Arial" w:cs="Arial"/>
          <w:sz w:val="24"/>
          <w:szCs w:val="24"/>
        </w:rPr>
      </w:pPr>
      <w:r>
        <w:rPr>
          <w:rFonts w:ascii="Arial" w:hAnsi="Arial" w:cs="Arial"/>
          <w:sz w:val="24"/>
          <w:szCs w:val="24"/>
        </w:rPr>
        <w:t>(</w:t>
      </w:r>
      <w:proofErr w:type="gramStart"/>
      <w:r w:rsidR="00DE4EC0">
        <w:rPr>
          <w:rFonts w:ascii="Arial" w:hAnsi="Arial" w:cs="Arial"/>
          <w:sz w:val="24"/>
          <w:szCs w:val="24"/>
        </w:rPr>
        <w:t>en</w:t>
      </w:r>
      <w:proofErr w:type="gramEnd"/>
      <w:r w:rsidR="00DE4EC0">
        <w:rPr>
          <w:rFonts w:ascii="Arial" w:hAnsi="Arial" w:cs="Arial"/>
          <w:sz w:val="24"/>
          <w:szCs w:val="24"/>
        </w:rPr>
        <w:t xml:space="preserve"> la </w:t>
      </w:r>
      <w:r w:rsidRPr="00200508">
        <w:rPr>
          <w:rFonts w:ascii="Arial" w:hAnsi="Arial" w:cs="Arial"/>
          <w:sz w:val="24"/>
          <w:szCs w:val="24"/>
        </w:rPr>
        <w:t>colonia</w:t>
      </w:r>
      <w:r>
        <w:rPr>
          <w:rFonts w:ascii="Arial" w:hAnsi="Arial" w:cs="Arial"/>
          <w:sz w:val="24"/>
          <w:szCs w:val="24"/>
        </w:rPr>
        <w:t>)</w:t>
      </w:r>
      <w:r w:rsidRPr="00200508">
        <w:rPr>
          <w:rFonts w:ascii="Arial" w:hAnsi="Arial" w:cs="Arial"/>
          <w:sz w:val="24"/>
          <w:szCs w:val="24"/>
        </w:rPr>
        <w:t>,</w:t>
      </w:r>
      <w:r>
        <w:rPr>
          <w:rFonts w:ascii="Arial" w:hAnsi="Arial" w:cs="Arial"/>
          <w:sz w:val="24"/>
          <w:szCs w:val="24"/>
        </w:rPr>
        <w:t>____</w:t>
      </w:r>
      <w:r w:rsidR="00A76FBE">
        <w:rPr>
          <w:rFonts w:ascii="Arial" w:hAnsi="Arial" w:cs="Arial"/>
          <w:sz w:val="24"/>
          <w:szCs w:val="24"/>
        </w:rPr>
        <w:t>__</w:t>
      </w:r>
      <w:r>
        <w:rPr>
          <w:rFonts w:ascii="Arial" w:hAnsi="Arial" w:cs="Arial"/>
          <w:sz w:val="24"/>
          <w:szCs w:val="24"/>
        </w:rPr>
        <w:t>________</w:t>
      </w:r>
      <w:r w:rsidR="00A76FBE">
        <w:rPr>
          <w:rFonts w:ascii="Arial" w:hAnsi="Arial" w:cs="Arial"/>
          <w:sz w:val="24"/>
          <w:szCs w:val="24"/>
        </w:rPr>
        <w:t>_______________</w:t>
      </w:r>
      <w:r w:rsidR="00DE4EC0" w:rsidRPr="00DE4EC0">
        <w:rPr>
          <w:rFonts w:ascii="Arial" w:hAnsi="Arial" w:cs="Arial"/>
          <w:sz w:val="24"/>
          <w:szCs w:val="24"/>
        </w:rPr>
        <w:t xml:space="preserve"> </w:t>
      </w:r>
      <w:r w:rsidR="00DE4EC0">
        <w:rPr>
          <w:rFonts w:ascii="Arial" w:hAnsi="Arial" w:cs="Arial"/>
          <w:sz w:val="24"/>
          <w:szCs w:val="24"/>
        </w:rPr>
        <w:t xml:space="preserve">(en la </w:t>
      </w:r>
      <w:r w:rsidR="00DE4EC0" w:rsidRPr="00200508">
        <w:rPr>
          <w:rFonts w:ascii="Arial" w:hAnsi="Arial" w:cs="Arial"/>
          <w:sz w:val="24"/>
          <w:szCs w:val="24"/>
        </w:rPr>
        <w:t>ciudad</w:t>
      </w:r>
      <w:r w:rsidR="00DE4EC0">
        <w:rPr>
          <w:rFonts w:ascii="Arial" w:hAnsi="Arial" w:cs="Arial"/>
          <w:sz w:val="24"/>
          <w:szCs w:val="24"/>
        </w:rPr>
        <w:t xml:space="preserve">) </w:t>
      </w:r>
      <w:r w:rsidR="00A76FBE">
        <w:rPr>
          <w:rFonts w:ascii="Arial" w:hAnsi="Arial" w:cs="Arial"/>
          <w:sz w:val="24"/>
          <w:szCs w:val="24"/>
        </w:rPr>
        <w:t>__________</w:t>
      </w:r>
      <w:r>
        <w:rPr>
          <w:rFonts w:ascii="Arial" w:hAnsi="Arial" w:cs="Arial"/>
          <w:sz w:val="24"/>
          <w:szCs w:val="24"/>
        </w:rPr>
        <w:t>_______</w:t>
      </w:r>
      <w:r w:rsidRPr="00200508">
        <w:rPr>
          <w:rFonts w:ascii="Arial" w:hAnsi="Arial" w:cs="Arial"/>
          <w:sz w:val="24"/>
          <w:szCs w:val="24"/>
        </w:rPr>
        <w:t xml:space="preserve"> </w:t>
      </w:r>
      <w:r w:rsidR="00A76FBE">
        <w:rPr>
          <w:rFonts w:ascii="Arial" w:hAnsi="Arial" w:cs="Arial"/>
          <w:sz w:val="24"/>
          <w:szCs w:val="24"/>
        </w:rPr>
        <w:t>______________________</w:t>
      </w:r>
      <w:r w:rsidRPr="00200508">
        <w:rPr>
          <w:rFonts w:ascii="Arial" w:hAnsi="Arial" w:cs="Arial"/>
          <w:sz w:val="24"/>
          <w:szCs w:val="24"/>
        </w:rPr>
        <w:t xml:space="preserve"> </w:t>
      </w:r>
      <w:r w:rsidR="00DE4EC0">
        <w:rPr>
          <w:rFonts w:ascii="Arial" w:hAnsi="Arial" w:cs="Arial"/>
          <w:sz w:val="24"/>
          <w:szCs w:val="24"/>
        </w:rPr>
        <w:t>(</w:t>
      </w:r>
      <w:r>
        <w:rPr>
          <w:rFonts w:ascii="Arial" w:hAnsi="Arial" w:cs="Arial"/>
          <w:sz w:val="24"/>
          <w:szCs w:val="24"/>
        </w:rPr>
        <w:t xml:space="preserve">y </w:t>
      </w:r>
      <w:r w:rsidRPr="00200508">
        <w:rPr>
          <w:rFonts w:ascii="Arial" w:hAnsi="Arial" w:cs="Arial"/>
          <w:sz w:val="24"/>
          <w:szCs w:val="24"/>
        </w:rPr>
        <w:t>entidad federativa)</w:t>
      </w:r>
      <w:r>
        <w:rPr>
          <w:rFonts w:ascii="Arial" w:hAnsi="Arial" w:cs="Arial"/>
          <w:sz w:val="24"/>
          <w:szCs w:val="24"/>
        </w:rPr>
        <w:t>:_______</w:t>
      </w:r>
      <w:r w:rsidR="00A76FBE">
        <w:rPr>
          <w:rFonts w:ascii="Arial" w:hAnsi="Arial" w:cs="Arial"/>
          <w:sz w:val="24"/>
          <w:szCs w:val="24"/>
        </w:rPr>
        <w:t>_________</w:t>
      </w:r>
      <w:r w:rsidR="00580E7A">
        <w:rPr>
          <w:rFonts w:ascii="Arial" w:hAnsi="Arial" w:cs="Arial"/>
          <w:sz w:val="24"/>
          <w:szCs w:val="24"/>
        </w:rPr>
        <w:t xml:space="preserve"> </w:t>
      </w:r>
      <w:r w:rsidR="00CF3902">
        <w:rPr>
          <w:rFonts w:ascii="Arial" w:hAnsi="Arial" w:cs="Arial"/>
          <w:sz w:val="24"/>
          <w:szCs w:val="24"/>
        </w:rPr>
        <w:t>y el correo electrónico:_____________________</w:t>
      </w:r>
      <w:r w:rsidR="00C0302E" w:rsidRPr="00EF2874">
        <w:rPr>
          <w:rFonts w:ascii="Arial" w:hAnsi="Arial" w:cs="Arial"/>
          <w:sz w:val="24"/>
          <w:szCs w:val="24"/>
        </w:rPr>
        <w:t>; ante usted con el debido respeto comparezco a;</w:t>
      </w:r>
    </w:p>
    <w:p w14:paraId="230D4321" w14:textId="77777777" w:rsidR="0075697A" w:rsidRPr="00EF2874" w:rsidRDefault="0075697A" w:rsidP="00F877A2">
      <w:pPr>
        <w:pStyle w:val="Ttulo2"/>
        <w:spacing w:line="276" w:lineRule="auto"/>
        <w:rPr>
          <w:rFonts w:ascii="Arial" w:hAnsi="Arial" w:cs="Arial"/>
          <w:sz w:val="24"/>
          <w:lang w:val="es-MX"/>
        </w:rPr>
      </w:pPr>
    </w:p>
    <w:p w14:paraId="4ED51723" w14:textId="77777777" w:rsidR="002A06EC" w:rsidRPr="00EF2874" w:rsidRDefault="002A06EC" w:rsidP="00F877A2">
      <w:pPr>
        <w:pStyle w:val="Ttulo2"/>
        <w:spacing w:line="276" w:lineRule="auto"/>
        <w:rPr>
          <w:rFonts w:ascii="Arial" w:hAnsi="Arial" w:cs="Arial"/>
          <w:sz w:val="24"/>
        </w:rPr>
      </w:pPr>
      <w:proofErr w:type="gramStart"/>
      <w:r w:rsidRPr="00EF2874">
        <w:rPr>
          <w:rFonts w:ascii="Arial" w:hAnsi="Arial" w:cs="Arial"/>
          <w:sz w:val="24"/>
        </w:rPr>
        <w:t>E  X</w:t>
      </w:r>
      <w:proofErr w:type="gramEnd"/>
      <w:r w:rsidRPr="00EF2874">
        <w:rPr>
          <w:rFonts w:ascii="Arial" w:hAnsi="Arial" w:cs="Arial"/>
          <w:sz w:val="24"/>
        </w:rPr>
        <w:t xml:space="preserve">  P  O  N  E  R</w:t>
      </w:r>
      <w:r w:rsidR="0075697A" w:rsidRPr="00EF2874">
        <w:rPr>
          <w:rFonts w:ascii="Arial" w:hAnsi="Arial" w:cs="Arial"/>
          <w:sz w:val="24"/>
        </w:rPr>
        <w:t>:</w:t>
      </w:r>
    </w:p>
    <w:p w14:paraId="5FE584DC" w14:textId="77777777" w:rsidR="00D76A63" w:rsidRPr="00EF2874" w:rsidRDefault="00D76A63" w:rsidP="00F877A2">
      <w:pPr>
        <w:spacing w:after="0"/>
        <w:rPr>
          <w:rFonts w:ascii="Arial" w:hAnsi="Arial" w:cs="Arial"/>
          <w:sz w:val="24"/>
          <w:szCs w:val="24"/>
          <w:lang w:val="es-ES" w:eastAsia="es-ES"/>
        </w:rPr>
      </w:pPr>
    </w:p>
    <w:p w14:paraId="0326E263" w14:textId="269B978F" w:rsidR="002A06EC" w:rsidRPr="00EF2874" w:rsidRDefault="002A06EC" w:rsidP="00F877A2">
      <w:pPr>
        <w:spacing w:after="0"/>
        <w:jc w:val="both"/>
        <w:rPr>
          <w:rFonts w:ascii="Arial" w:hAnsi="Arial" w:cs="Arial"/>
          <w:sz w:val="24"/>
          <w:szCs w:val="24"/>
        </w:rPr>
      </w:pPr>
      <w:r w:rsidRPr="00EF2874">
        <w:rPr>
          <w:rFonts w:ascii="Arial" w:hAnsi="Arial" w:cs="Arial"/>
          <w:b/>
          <w:bCs/>
          <w:sz w:val="24"/>
          <w:szCs w:val="24"/>
        </w:rPr>
        <w:tab/>
      </w:r>
      <w:r w:rsidR="00FF4891">
        <w:rPr>
          <w:rFonts w:ascii="Arial" w:hAnsi="Arial" w:cs="Arial"/>
          <w:bCs/>
          <w:sz w:val="24"/>
          <w:szCs w:val="24"/>
        </w:rPr>
        <w:t>P</w:t>
      </w:r>
      <w:r w:rsidR="00FF4891">
        <w:rPr>
          <w:rFonts w:ascii="Arial" w:hAnsi="Arial" w:cs="Arial"/>
          <w:sz w:val="24"/>
          <w:szCs w:val="24"/>
        </w:rPr>
        <w:t>or nuestro propio derecho</w:t>
      </w:r>
      <w:r w:rsidR="00A94F22">
        <w:rPr>
          <w:rStyle w:val="Refdenotaalpie"/>
          <w:rFonts w:ascii="Arial" w:hAnsi="Arial" w:cs="Arial"/>
          <w:sz w:val="24"/>
          <w:szCs w:val="24"/>
        </w:rPr>
        <w:footnoteReference w:id="2"/>
      </w:r>
      <w:r w:rsidR="00FF4891">
        <w:rPr>
          <w:rFonts w:ascii="Arial" w:hAnsi="Arial" w:cs="Arial"/>
          <w:sz w:val="24"/>
          <w:szCs w:val="24"/>
        </w:rPr>
        <w:t>,</w:t>
      </w:r>
      <w:r w:rsidRPr="00EF2874">
        <w:rPr>
          <w:rFonts w:ascii="Arial" w:hAnsi="Arial" w:cs="Arial"/>
          <w:sz w:val="24"/>
          <w:szCs w:val="24"/>
        </w:rPr>
        <w:t xml:space="preserve"> con fundamento en los artículos 1</w:t>
      </w:r>
      <w:r w:rsidR="0075697A" w:rsidRPr="00EF2874">
        <w:rPr>
          <w:rFonts w:ascii="Arial" w:hAnsi="Arial" w:cs="Arial"/>
          <w:sz w:val="24"/>
          <w:szCs w:val="24"/>
        </w:rPr>
        <w:t>,</w:t>
      </w:r>
      <w:r w:rsidRPr="00EF2874">
        <w:rPr>
          <w:rFonts w:ascii="Arial" w:hAnsi="Arial" w:cs="Arial"/>
          <w:sz w:val="24"/>
          <w:szCs w:val="24"/>
        </w:rPr>
        <w:t xml:space="preserve"> fracción I</w:t>
      </w:r>
      <w:r w:rsidR="0075697A" w:rsidRPr="00EF2874">
        <w:rPr>
          <w:rFonts w:ascii="Arial" w:hAnsi="Arial" w:cs="Arial"/>
          <w:sz w:val="24"/>
          <w:szCs w:val="24"/>
        </w:rPr>
        <w:t>,</w:t>
      </w:r>
      <w:r w:rsidR="00FA5ADE">
        <w:rPr>
          <w:rFonts w:ascii="Arial" w:hAnsi="Arial" w:cs="Arial"/>
          <w:sz w:val="24"/>
          <w:szCs w:val="24"/>
        </w:rPr>
        <w:t xml:space="preserve"> 78, </w:t>
      </w:r>
      <w:r w:rsidRPr="00EF2874">
        <w:rPr>
          <w:rFonts w:ascii="Arial" w:hAnsi="Arial" w:cs="Arial"/>
          <w:sz w:val="24"/>
          <w:szCs w:val="24"/>
        </w:rPr>
        <w:t xml:space="preserve"> 1</w:t>
      </w:r>
      <w:r w:rsidR="0075697A" w:rsidRPr="00EF2874">
        <w:rPr>
          <w:rFonts w:ascii="Arial" w:hAnsi="Arial" w:cs="Arial"/>
          <w:sz w:val="24"/>
          <w:szCs w:val="24"/>
        </w:rPr>
        <w:t>07</w:t>
      </w:r>
      <w:r w:rsidR="00E033FD" w:rsidRPr="00EF2874">
        <w:rPr>
          <w:rFonts w:ascii="Arial" w:hAnsi="Arial" w:cs="Arial"/>
          <w:sz w:val="24"/>
          <w:szCs w:val="24"/>
        </w:rPr>
        <w:t xml:space="preserve"> </w:t>
      </w:r>
      <w:r w:rsidR="001100B7" w:rsidRPr="00EF2874">
        <w:rPr>
          <w:rFonts w:ascii="Arial" w:hAnsi="Arial" w:cs="Arial"/>
          <w:sz w:val="24"/>
          <w:szCs w:val="24"/>
        </w:rPr>
        <w:t>fracción</w:t>
      </w:r>
      <w:r w:rsidRPr="00EF2874">
        <w:rPr>
          <w:rFonts w:ascii="Arial" w:hAnsi="Arial" w:cs="Arial"/>
          <w:sz w:val="24"/>
          <w:szCs w:val="24"/>
        </w:rPr>
        <w:t xml:space="preserve"> </w:t>
      </w:r>
      <w:r w:rsidR="00E033FD" w:rsidRPr="00EF2874">
        <w:rPr>
          <w:rFonts w:ascii="Arial" w:hAnsi="Arial" w:cs="Arial"/>
          <w:sz w:val="24"/>
          <w:szCs w:val="24"/>
        </w:rPr>
        <w:t>I</w:t>
      </w:r>
      <w:r w:rsidR="00680C85">
        <w:rPr>
          <w:rFonts w:ascii="Arial" w:hAnsi="Arial" w:cs="Arial"/>
          <w:sz w:val="24"/>
          <w:szCs w:val="24"/>
        </w:rPr>
        <w:t xml:space="preserve"> y demás aplicables de la Ley de Amparo, </w:t>
      </w:r>
      <w:r w:rsidR="001100B7">
        <w:rPr>
          <w:rFonts w:ascii="Arial" w:hAnsi="Arial" w:cs="Arial"/>
          <w:sz w:val="24"/>
          <w:szCs w:val="24"/>
        </w:rPr>
        <w:t xml:space="preserve">así como </w:t>
      </w:r>
      <w:r w:rsidR="003856AA" w:rsidRPr="00EF2874">
        <w:rPr>
          <w:rFonts w:ascii="Arial" w:hAnsi="Arial" w:cs="Arial"/>
          <w:sz w:val="24"/>
          <w:szCs w:val="24"/>
        </w:rPr>
        <w:t>103 y 107 de la Constitución Política de los Estados Unidos Mexicanos</w:t>
      </w:r>
      <w:r w:rsidR="00A351FE">
        <w:rPr>
          <w:rFonts w:ascii="Arial" w:hAnsi="Arial" w:cs="Arial"/>
          <w:sz w:val="24"/>
          <w:szCs w:val="24"/>
        </w:rPr>
        <w:t xml:space="preserve">, </w:t>
      </w:r>
      <w:r w:rsidR="00EE25C0">
        <w:rPr>
          <w:rFonts w:ascii="Arial" w:hAnsi="Arial" w:cs="Arial"/>
          <w:sz w:val="24"/>
          <w:szCs w:val="24"/>
        </w:rPr>
        <w:t>m</w:t>
      </w:r>
      <w:r w:rsidR="005D2064" w:rsidRPr="00EF2874">
        <w:rPr>
          <w:rFonts w:ascii="Arial" w:hAnsi="Arial" w:cs="Arial"/>
          <w:sz w:val="24"/>
          <w:szCs w:val="24"/>
        </w:rPr>
        <w:t>e</w:t>
      </w:r>
      <w:r w:rsidRPr="00EF2874">
        <w:rPr>
          <w:rFonts w:ascii="Arial" w:hAnsi="Arial" w:cs="Arial"/>
          <w:sz w:val="24"/>
          <w:szCs w:val="24"/>
        </w:rPr>
        <w:t xml:space="preserve"> present</w:t>
      </w:r>
      <w:r w:rsidR="0056017C" w:rsidRPr="00EF2874">
        <w:rPr>
          <w:rFonts w:ascii="Arial" w:hAnsi="Arial" w:cs="Arial"/>
          <w:sz w:val="24"/>
          <w:szCs w:val="24"/>
        </w:rPr>
        <w:t>o</w:t>
      </w:r>
      <w:r w:rsidRPr="00EF2874">
        <w:rPr>
          <w:rFonts w:ascii="Arial" w:hAnsi="Arial" w:cs="Arial"/>
          <w:sz w:val="24"/>
          <w:szCs w:val="24"/>
        </w:rPr>
        <w:t xml:space="preserve"> a demandar</w:t>
      </w:r>
      <w:r w:rsidR="00A351FE">
        <w:rPr>
          <w:rFonts w:ascii="Arial" w:hAnsi="Arial" w:cs="Arial"/>
          <w:sz w:val="24"/>
          <w:szCs w:val="24"/>
        </w:rPr>
        <w:t xml:space="preserve"> </w:t>
      </w:r>
      <w:r w:rsidRPr="00EF2874">
        <w:rPr>
          <w:rFonts w:ascii="Arial" w:hAnsi="Arial" w:cs="Arial"/>
          <w:sz w:val="24"/>
          <w:szCs w:val="24"/>
        </w:rPr>
        <w:t xml:space="preserve">EL AMPARO Y PROTECCIÓN DE LA JUSTICIA FEDERAL </w:t>
      </w:r>
      <w:r w:rsidR="00F53278">
        <w:rPr>
          <w:rFonts w:ascii="Arial" w:hAnsi="Arial" w:cs="Arial"/>
          <w:sz w:val="24"/>
          <w:szCs w:val="24"/>
        </w:rPr>
        <w:t xml:space="preserve">de manera autoaplicativa </w:t>
      </w:r>
      <w:r w:rsidRPr="00EF2874">
        <w:rPr>
          <w:rFonts w:ascii="Arial" w:hAnsi="Arial" w:cs="Arial"/>
          <w:sz w:val="24"/>
          <w:szCs w:val="24"/>
        </w:rPr>
        <w:t xml:space="preserve">en contra </w:t>
      </w:r>
      <w:r w:rsidR="00595D43">
        <w:rPr>
          <w:rFonts w:ascii="Arial" w:hAnsi="Arial" w:cs="Arial"/>
          <w:sz w:val="24"/>
          <w:szCs w:val="24"/>
        </w:rPr>
        <w:t xml:space="preserve">de </w:t>
      </w:r>
      <w:r w:rsidR="00F53278">
        <w:rPr>
          <w:rFonts w:ascii="Arial" w:hAnsi="Arial" w:cs="Arial"/>
          <w:sz w:val="24"/>
          <w:szCs w:val="24"/>
        </w:rPr>
        <w:t>normas generales</w:t>
      </w:r>
      <w:r w:rsidRPr="00EF2874">
        <w:rPr>
          <w:rFonts w:ascii="Arial" w:hAnsi="Arial" w:cs="Arial"/>
          <w:sz w:val="24"/>
          <w:szCs w:val="24"/>
        </w:rPr>
        <w:t xml:space="preserve"> </w:t>
      </w:r>
      <w:r w:rsidR="00764FE4" w:rsidRPr="00EF2874">
        <w:rPr>
          <w:rFonts w:ascii="Arial" w:hAnsi="Arial" w:cs="Arial"/>
          <w:sz w:val="24"/>
          <w:szCs w:val="24"/>
        </w:rPr>
        <w:t xml:space="preserve">que </w:t>
      </w:r>
      <w:r w:rsidR="00680C85">
        <w:rPr>
          <w:rFonts w:ascii="Arial" w:hAnsi="Arial" w:cs="Arial"/>
          <w:sz w:val="24"/>
          <w:szCs w:val="24"/>
        </w:rPr>
        <w:t>por la materia que regula</w:t>
      </w:r>
      <w:r w:rsidR="003415A3">
        <w:rPr>
          <w:rFonts w:ascii="Arial" w:hAnsi="Arial" w:cs="Arial"/>
          <w:sz w:val="24"/>
          <w:szCs w:val="24"/>
        </w:rPr>
        <w:t>n</w:t>
      </w:r>
      <w:r w:rsidR="00680C85">
        <w:rPr>
          <w:rFonts w:ascii="Arial" w:hAnsi="Arial" w:cs="Arial"/>
          <w:sz w:val="24"/>
          <w:szCs w:val="24"/>
        </w:rPr>
        <w:t xml:space="preserve"> constituyen una violación inminente e irreparable </w:t>
      </w:r>
      <w:r w:rsidR="00F53278">
        <w:rPr>
          <w:rFonts w:ascii="Arial" w:hAnsi="Arial" w:cs="Arial"/>
          <w:sz w:val="24"/>
          <w:szCs w:val="24"/>
        </w:rPr>
        <w:t>a</w:t>
      </w:r>
      <w:r w:rsidR="00680C85">
        <w:rPr>
          <w:rFonts w:ascii="Arial" w:hAnsi="Arial" w:cs="Arial"/>
          <w:sz w:val="24"/>
          <w:szCs w:val="24"/>
        </w:rPr>
        <w:t xml:space="preserve"> </w:t>
      </w:r>
      <w:r w:rsidRPr="00EF2874">
        <w:rPr>
          <w:rFonts w:ascii="Arial" w:hAnsi="Arial" w:cs="Arial"/>
          <w:sz w:val="24"/>
          <w:szCs w:val="24"/>
        </w:rPr>
        <w:t>los derechos fundamental</w:t>
      </w:r>
      <w:r w:rsidR="00764FE4" w:rsidRPr="00EF2874">
        <w:rPr>
          <w:rFonts w:ascii="Arial" w:hAnsi="Arial" w:cs="Arial"/>
          <w:sz w:val="24"/>
          <w:szCs w:val="24"/>
        </w:rPr>
        <w:t>es</w:t>
      </w:r>
      <w:r w:rsidR="00A351FE">
        <w:rPr>
          <w:rFonts w:ascii="Arial" w:hAnsi="Arial" w:cs="Arial"/>
          <w:sz w:val="24"/>
          <w:szCs w:val="24"/>
        </w:rPr>
        <w:t xml:space="preserve"> </w:t>
      </w:r>
      <w:r w:rsidR="00F53278">
        <w:rPr>
          <w:rFonts w:ascii="Arial" w:hAnsi="Arial" w:cs="Arial"/>
          <w:sz w:val="24"/>
          <w:szCs w:val="24"/>
        </w:rPr>
        <w:t>de</w:t>
      </w:r>
      <w:r w:rsidR="006D6D19">
        <w:rPr>
          <w:rFonts w:ascii="Arial" w:hAnsi="Arial" w:cs="Arial"/>
          <w:sz w:val="24"/>
          <w:szCs w:val="24"/>
        </w:rPr>
        <w:t xml:space="preserve"> seguridad jurídica, </w:t>
      </w:r>
      <w:r w:rsidR="00680C85" w:rsidRPr="00680C85">
        <w:rPr>
          <w:rFonts w:ascii="Arial" w:hAnsi="Arial" w:cs="Arial"/>
          <w:sz w:val="24"/>
          <w:szCs w:val="24"/>
        </w:rPr>
        <w:t xml:space="preserve">a la vida, integridad personal, libertad personal, libertad de expresión, libertad de manifestación, </w:t>
      </w:r>
      <w:r w:rsidR="00597926">
        <w:rPr>
          <w:rFonts w:ascii="Arial" w:hAnsi="Arial" w:cs="Arial"/>
          <w:sz w:val="24"/>
          <w:szCs w:val="24"/>
        </w:rPr>
        <w:t xml:space="preserve">libertad de reunión, </w:t>
      </w:r>
      <w:r w:rsidR="00680C85" w:rsidRPr="00680C85">
        <w:rPr>
          <w:rFonts w:ascii="Arial" w:hAnsi="Arial" w:cs="Arial"/>
          <w:sz w:val="24"/>
          <w:szCs w:val="24"/>
        </w:rPr>
        <w:t>libertad de tránsito, derecho de petición</w:t>
      </w:r>
      <w:r w:rsidR="006D6D19">
        <w:rPr>
          <w:rFonts w:ascii="Arial" w:hAnsi="Arial" w:cs="Arial"/>
          <w:sz w:val="24"/>
          <w:szCs w:val="24"/>
        </w:rPr>
        <w:t xml:space="preserve">, </w:t>
      </w:r>
      <w:r w:rsidR="0029406B">
        <w:rPr>
          <w:rFonts w:ascii="Arial" w:hAnsi="Arial" w:cs="Arial"/>
          <w:sz w:val="24"/>
          <w:szCs w:val="24"/>
        </w:rPr>
        <w:t xml:space="preserve">inviolabilidad del domicilio, derecho de audiencia y defensa, </w:t>
      </w:r>
      <w:r w:rsidR="00D221FB">
        <w:rPr>
          <w:rFonts w:ascii="Arial" w:hAnsi="Arial" w:cs="Arial"/>
          <w:sz w:val="24"/>
          <w:szCs w:val="24"/>
        </w:rPr>
        <w:t xml:space="preserve">normas </w:t>
      </w:r>
      <w:r w:rsidR="00D221FB" w:rsidRPr="00EF2874">
        <w:rPr>
          <w:rFonts w:ascii="Arial" w:hAnsi="Arial" w:cs="Arial"/>
          <w:sz w:val="24"/>
          <w:szCs w:val="24"/>
        </w:rPr>
        <w:t xml:space="preserve">provenientes de autoridades </w:t>
      </w:r>
      <w:r w:rsidRPr="00EF2874">
        <w:rPr>
          <w:rFonts w:ascii="Arial" w:hAnsi="Arial" w:cs="Arial"/>
          <w:sz w:val="24"/>
          <w:szCs w:val="24"/>
        </w:rPr>
        <w:t>que oportunamen</w:t>
      </w:r>
      <w:r w:rsidR="005D2064" w:rsidRPr="00EF2874">
        <w:rPr>
          <w:rFonts w:ascii="Arial" w:hAnsi="Arial" w:cs="Arial"/>
          <w:sz w:val="24"/>
          <w:szCs w:val="24"/>
        </w:rPr>
        <w:t>te referiré</w:t>
      </w:r>
      <w:r w:rsidRPr="00EF2874">
        <w:rPr>
          <w:rFonts w:ascii="Arial" w:hAnsi="Arial" w:cs="Arial"/>
          <w:sz w:val="24"/>
          <w:szCs w:val="24"/>
        </w:rPr>
        <w:t xml:space="preserve"> y para tal efecto</w:t>
      </w:r>
      <w:r w:rsidR="00814524" w:rsidRPr="00EF2874">
        <w:rPr>
          <w:rFonts w:ascii="Arial" w:hAnsi="Arial" w:cs="Arial"/>
          <w:sz w:val="24"/>
          <w:szCs w:val="24"/>
        </w:rPr>
        <w:t>,</w:t>
      </w:r>
      <w:r w:rsidRPr="00EF2874">
        <w:rPr>
          <w:rFonts w:ascii="Arial" w:hAnsi="Arial" w:cs="Arial"/>
          <w:sz w:val="24"/>
          <w:szCs w:val="24"/>
        </w:rPr>
        <w:t xml:space="preserve"> de conformidad con el </w:t>
      </w:r>
      <w:r w:rsidR="00764FE4" w:rsidRPr="00EF2874">
        <w:rPr>
          <w:rFonts w:ascii="Arial" w:hAnsi="Arial" w:cs="Arial"/>
          <w:sz w:val="24"/>
          <w:szCs w:val="24"/>
        </w:rPr>
        <w:t>arábigo</w:t>
      </w:r>
      <w:r w:rsidRPr="00EF2874">
        <w:rPr>
          <w:rFonts w:ascii="Arial" w:hAnsi="Arial" w:cs="Arial"/>
          <w:sz w:val="24"/>
          <w:szCs w:val="24"/>
        </w:rPr>
        <w:t xml:space="preserve"> 108 de la Ley</w:t>
      </w:r>
      <w:r w:rsidR="003856AA" w:rsidRPr="00EF2874">
        <w:rPr>
          <w:rFonts w:ascii="Arial" w:hAnsi="Arial" w:cs="Arial"/>
          <w:sz w:val="24"/>
          <w:szCs w:val="24"/>
        </w:rPr>
        <w:t xml:space="preserve"> en cita,</w:t>
      </w:r>
      <w:r w:rsidRPr="00EF2874">
        <w:rPr>
          <w:rFonts w:ascii="Arial" w:hAnsi="Arial" w:cs="Arial"/>
          <w:sz w:val="24"/>
          <w:szCs w:val="24"/>
        </w:rPr>
        <w:t xml:space="preserve"> ha</w:t>
      </w:r>
      <w:r w:rsidR="005D2064" w:rsidRPr="00EF2874">
        <w:rPr>
          <w:rFonts w:ascii="Arial" w:hAnsi="Arial" w:cs="Arial"/>
          <w:sz w:val="24"/>
          <w:szCs w:val="24"/>
        </w:rPr>
        <w:t>go</w:t>
      </w:r>
      <w:r w:rsidRPr="00EF2874">
        <w:rPr>
          <w:rFonts w:ascii="Arial" w:hAnsi="Arial" w:cs="Arial"/>
          <w:sz w:val="24"/>
          <w:szCs w:val="24"/>
        </w:rPr>
        <w:t xml:space="preserve"> los siguientes señalamientos:</w:t>
      </w:r>
    </w:p>
    <w:p w14:paraId="05C7AA1D" w14:textId="77777777" w:rsidR="002A06EC" w:rsidRPr="00EF2874" w:rsidRDefault="002A06EC" w:rsidP="00F877A2">
      <w:pPr>
        <w:spacing w:after="0"/>
        <w:jc w:val="both"/>
        <w:rPr>
          <w:rFonts w:ascii="Arial" w:hAnsi="Arial" w:cs="Arial"/>
          <w:sz w:val="24"/>
          <w:szCs w:val="24"/>
        </w:rPr>
      </w:pPr>
    </w:p>
    <w:p w14:paraId="57D5CC37" w14:textId="77777777" w:rsidR="002A06EC" w:rsidRPr="00EF2874" w:rsidRDefault="002A06EC" w:rsidP="00F877A2">
      <w:pPr>
        <w:spacing w:after="0"/>
        <w:jc w:val="both"/>
        <w:rPr>
          <w:rFonts w:ascii="Arial" w:hAnsi="Arial" w:cs="Arial"/>
          <w:sz w:val="24"/>
          <w:szCs w:val="24"/>
        </w:rPr>
      </w:pPr>
      <w:r w:rsidRPr="00EF2874">
        <w:rPr>
          <w:rFonts w:ascii="Arial" w:hAnsi="Arial" w:cs="Arial"/>
          <w:sz w:val="24"/>
          <w:szCs w:val="24"/>
        </w:rPr>
        <w:tab/>
      </w:r>
      <w:r w:rsidR="00764FE4" w:rsidRPr="00EF2874">
        <w:rPr>
          <w:rFonts w:ascii="Arial" w:hAnsi="Arial" w:cs="Arial"/>
          <w:b/>
          <w:bCs/>
          <w:sz w:val="24"/>
          <w:szCs w:val="24"/>
        </w:rPr>
        <w:t>I.</w:t>
      </w:r>
      <w:r w:rsidRPr="00EF2874">
        <w:rPr>
          <w:rFonts w:ascii="Arial" w:hAnsi="Arial" w:cs="Arial"/>
          <w:b/>
          <w:bCs/>
          <w:sz w:val="24"/>
          <w:szCs w:val="24"/>
        </w:rPr>
        <w:t xml:space="preserve"> </w:t>
      </w:r>
      <w:r w:rsidR="00B26CD6" w:rsidRPr="00EF2874">
        <w:rPr>
          <w:rFonts w:ascii="Arial" w:hAnsi="Arial" w:cs="Arial"/>
          <w:b/>
          <w:bCs/>
          <w:sz w:val="24"/>
          <w:szCs w:val="24"/>
        </w:rPr>
        <w:t>Nombre y</w:t>
      </w:r>
      <w:r w:rsidR="00764FE4" w:rsidRPr="00EF2874">
        <w:rPr>
          <w:rFonts w:ascii="Arial" w:hAnsi="Arial" w:cs="Arial"/>
          <w:b/>
          <w:bCs/>
          <w:sz w:val="24"/>
          <w:szCs w:val="24"/>
        </w:rPr>
        <w:t xml:space="preserve"> domicilio del quejoso.</w:t>
      </w:r>
      <w:r w:rsidRPr="00EF2874">
        <w:rPr>
          <w:rFonts w:ascii="Arial" w:hAnsi="Arial" w:cs="Arial"/>
          <w:b/>
          <w:bCs/>
          <w:sz w:val="24"/>
          <w:szCs w:val="24"/>
        </w:rPr>
        <w:t xml:space="preserve"> </w:t>
      </w:r>
      <w:r w:rsidR="00764FE4" w:rsidRPr="00EF2874">
        <w:rPr>
          <w:rFonts w:ascii="Arial" w:hAnsi="Arial" w:cs="Arial"/>
          <w:sz w:val="24"/>
          <w:szCs w:val="24"/>
        </w:rPr>
        <w:t>Ya quedaron</w:t>
      </w:r>
      <w:r w:rsidRPr="00EF2874">
        <w:rPr>
          <w:rFonts w:ascii="Arial" w:hAnsi="Arial" w:cs="Arial"/>
          <w:sz w:val="24"/>
          <w:szCs w:val="24"/>
        </w:rPr>
        <w:t xml:space="preserve"> expresados en el proemio de este ocurso.</w:t>
      </w:r>
    </w:p>
    <w:p w14:paraId="15E0B324" w14:textId="0154CD2D" w:rsidR="002A06EC" w:rsidRPr="00EF2874" w:rsidRDefault="002A06EC" w:rsidP="00F877A2">
      <w:pPr>
        <w:spacing w:after="0"/>
        <w:jc w:val="both"/>
        <w:rPr>
          <w:rFonts w:ascii="Arial" w:hAnsi="Arial" w:cs="Arial"/>
          <w:bCs/>
          <w:sz w:val="24"/>
          <w:szCs w:val="24"/>
        </w:rPr>
      </w:pPr>
      <w:r w:rsidRPr="00EF2874">
        <w:rPr>
          <w:rFonts w:ascii="Arial" w:hAnsi="Arial" w:cs="Arial"/>
          <w:sz w:val="24"/>
          <w:szCs w:val="24"/>
        </w:rPr>
        <w:tab/>
      </w:r>
      <w:r w:rsidR="00764FE4" w:rsidRPr="00EF2874">
        <w:rPr>
          <w:rFonts w:ascii="Arial" w:hAnsi="Arial" w:cs="Arial"/>
          <w:b/>
          <w:bCs/>
          <w:sz w:val="24"/>
          <w:szCs w:val="24"/>
        </w:rPr>
        <w:t xml:space="preserve">II. Nombre y domicilio del tercero </w:t>
      </w:r>
      <w:r w:rsidR="00F53278">
        <w:rPr>
          <w:rFonts w:ascii="Arial" w:hAnsi="Arial" w:cs="Arial"/>
          <w:b/>
          <w:bCs/>
          <w:sz w:val="24"/>
          <w:szCs w:val="24"/>
        </w:rPr>
        <w:t>interesado.</w:t>
      </w:r>
      <w:r w:rsidR="006D6D19">
        <w:rPr>
          <w:rFonts w:ascii="Arial" w:hAnsi="Arial" w:cs="Arial"/>
          <w:b/>
          <w:bCs/>
          <w:sz w:val="24"/>
          <w:szCs w:val="24"/>
        </w:rPr>
        <w:t xml:space="preserve"> </w:t>
      </w:r>
      <w:r w:rsidR="006D6D19" w:rsidRPr="006D6D19">
        <w:rPr>
          <w:rFonts w:ascii="Arial" w:hAnsi="Arial" w:cs="Arial"/>
          <w:bCs/>
          <w:sz w:val="24"/>
          <w:szCs w:val="24"/>
        </w:rPr>
        <w:t xml:space="preserve">En el presente asunto </w:t>
      </w:r>
      <w:r w:rsidR="006D6D19">
        <w:rPr>
          <w:rFonts w:ascii="Arial" w:hAnsi="Arial" w:cs="Arial"/>
          <w:bCs/>
          <w:sz w:val="24"/>
          <w:szCs w:val="24"/>
        </w:rPr>
        <w:t xml:space="preserve">a </w:t>
      </w:r>
      <w:r w:rsidR="00597926">
        <w:rPr>
          <w:rFonts w:ascii="Arial" w:hAnsi="Arial" w:cs="Arial"/>
          <w:bCs/>
          <w:sz w:val="24"/>
          <w:szCs w:val="24"/>
        </w:rPr>
        <w:t xml:space="preserve">nadie </w:t>
      </w:r>
      <w:r w:rsidR="00597926" w:rsidRPr="00EF2874">
        <w:rPr>
          <w:rFonts w:ascii="Arial" w:hAnsi="Arial" w:cs="Arial"/>
          <w:bCs/>
          <w:sz w:val="24"/>
          <w:szCs w:val="24"/>
        </w:rPr>
        <w:t>le</w:t>
      </w:r>
      <w:r w:rsidR="006D6D19">
        <w:rPr>
          <w:rFonts w:ascii="Arial" w:hAnsi="Arial" w:cs="Arial"/>
          <w:bCs/>
          <w:sz w:val="24"/>
          <w:szCs w:val="24"/>
        </w:rPr>
        <w:t xml:space="preserve"> reviste el carácter de tercero interesado</w:t>
      </w:r>
      <w:r w:rsidRPr="00EF2874">
        <w:rPr>
          <w:rFonts w:ascii="Arial" w:hAnsi="Arial" w:cs="Arial"/>
          <w:bCs/>
          <w:sz w:val="24"/>
          <w:szCs w:val="24"/>
        </w:rPr>
        <w:t>.</w:t>
      </w:r>
    </w:p>
    <w:p w14:paraId="68453009" w14:textId="77777777" w:rsidR="00760ED6" w:rsidRPr="00EF2874" w:rsidRDefault="00760ED6" w:rsidP="00F877A2">
      <w:pPr>
        <w:spacing w:after="0"/>
        <w:jc w:val="both"/>
        <w:rPr>
          <w:rFonts w:ascii="Arial" w:hAnsi="Arial" w:cs="Arial"/>
          <w:bCs/>
          <w:sz w:val="24"/>
          <w:szCs w:val="24"/>
        </w:rPr>
      </w:pPr>
    </w:p>
    <w:p w14:paraId="51DB2950" w14:textId="44A20CD1" w:rsidR="002A06EC" w:rsidRDefault="00764FE4" w:rsidP="00680C85">
      <w:pPr>
        <w:pStyle w:val="Sangradetextonormal"/>
        <w:spacing w:line="276" w:lineRule="auto"/>
        <w:rPr>
          <w:rFonts w:ascii="Arial" w:hAnsi="Arial" w:cs="Arial"/>
          <w:b/>
          <w:bCs/>
          <w:sz w:val="24"/>
        </w:rPr>
      </w:pPr>
      <w:r w:rsidRPr="00EF2874">
        <w:rPr>
          <w:rFonts w:ascii="Arial" w:hAnsi="Arial" w:cs="Arial"/>
          <w:b/>
          <w:bCs/>
          <w:sz w:val="24"/>
        </w:rPr>
        <w:t>III. Autoridades responsables.</w:t>
      </w:r>
    </w:p>
    <w:p w14:paraId="0383F24F" w14:textId="23B68993" w:rsidR="00E62E1E" w:rsidRDefault="00E62E1E" w:rsidP="00E62E1E">
      <w:pPr>
        <w:pStyle w:val="Prrafodelista"/>
        <w:spacing w:after="0"/>
        <w:ind w:left="0"/>
        <w:jc w:val="both"/>
        <w:rPr>
          <w:rFonts w:ascii="Arial" w:hAnsi="Arial" w:cs="Arial"/>
          <w:bCs/>
          <w:sz w:val="24"/>
          <w:szCs w:val="24"/>
        </w:rPr>
      </w:pPr>
      <w:r>
        <w:rPr>
          <w:rFonts w:ascii="Arial" w:hAnsi="Arial" w:cs="Arial"/>
          <w:bCs/>
          <w:sz w:val="24"/>
          <w:szCs w:val="24"/>
        </w:rPr>
        <w:tab/>
      </w:r>
      <w:bookmarkStart w:id="0" w:name="_Hlk41031992"/>
      <w:r w:rsidRPr="00E62E1E">
        <w:rPr>
          <w:rFonts w:ascii="Arial" w:hAnsi="Arial" w:cs="Arial"/>
          <w:bCs/>
          <w:sz w:val="24"/>
          <w:szCs w:val="24"/>
        </w:rPr>
        <w:t>A</w:t>
      </w:r>
      <w:r w:rsidR="00D06D06">
        <w:rPr>
          <w:rFonts w:ascii="Arial" w:hAnsi="Arial" w:cs="Arial"/>
          <w:bCs/>
          <w:sz w:val="24"/>
          <w:szCs w:val="24"/>
        </w:rPr>
        <w:t xml:space="preserve"> continuación señalamos a las autoridades responsables de la norma general que se reclama en esta demanda de amparo, a quienes por tanto atribuimos y reclamamos el contenido de la norma general reclamada:</w:t>
      </w:r>
      <w:r w:rsidRPr="00E62E1E">
        <w:rPr>
          <w:rFonts w:ascii="Arial" w:hAnsi="Arial" w:cs="Arial"/>
          <w:bCs/>
          <w:sz w:val="24"/>
          <w:szCs w:val="24"/>
        </w:rPr>
        <w:t xml:space="preserve"> </w:t>
      </w:r>
      <w:bookmarkEnd w:id="0"/>
    </w:p>
    <w:p w14:paraId="760A4A1A" w14:textId="77777777" w:rsidR="00C14417" w:rsidRPr="00E62E1E" w:rsidRDefault="00C14417" w:rsidP="00E62E1E">
      <w:pPr>
        <w:pStyle w:val="Prrafodelista"/>
        <w:spacing w:after="0"/>
        <w:ind w:left="0"/>
        <w:jc w:val="both"/>
        <w:rPr>
          <w:rFonts w:ascii="Arial" w:hAnsi="Arial" w:cs="Arial"/>
          <w:bCs/>
          <w:sz w:val="24"/>
          <w:szCs w:val="24"/>
        </w:rPr>
      </w:pPr>
    </w:p>
    <w:p w14:paraId="4B6E48CE" w14:textId="5FB9A8DE" w:rsidR="00B26CD6" w:rsidRDefault="00680C85" w:rsidP="00C14417">
      <w:pPr>
        <w:pStyle w:val="Prrafodelista"/>
        <w:numPr>
          <w:ilvl w:val="0"/>
          <w:numId w:val="30"/>
        </w:numPr>
        <w:spacing w:before="240"/>
        <w:jc w:val="both"/>
        <w:rPr>
          <w:rFonts w:ascii="Arial" w:hAnsi="Arial" w:cs="Arial"/>
          <w:sz w:val="24"/>
          <w:szCs w:val="24"/>
        </w:rPr>
      </w:pPr>
      <w:r w:rsidRPr="00680C85">
        <w:rPr>
          <w:rFonts w:ascii="Arial" w:hAnsi="Arial" w:cs="Arial"/>
          <w:b/>
          <w:bCs/>
          <w:sz w:val="24"/>
          <w:szCs w:val="24"/>
        </w:rPr>
        <w:t>Presidente de los Estados Unidos Mexicanos</w:t>
      </w:r>
      <w:r w:rsidRPr="009D6DE8">
        <w:rPr>
          <w:rFonts w:ascii="Arial" w:hAnsi="Arial" w:cs="Arial"/>
          <w:sz w:val="24"/>
          <w:szCs w:val="24"/>
        </w:rPr>
        <w:t>, Andrés Manuel López Obrador</w:t>
      </w:r>
      <w:r w:rsidR="00FF0566">
        <w:rPr>
          <w:rFonts w:ascii="Arial" w:hAnsi="Arial" w:cs="Arial"/>
          <w:sz w:val="24"/>
          <w:szCs w:val="24"/>
        </w:rPr>
        <w:t xml:space="preserve"> (A quien le </w:t>
      </w:r>
      <w:r w:rsidR="00D06D06">
        <w:rPr>
          <w:rFonts w:ascii="Arial" w:hAnsi="Arial" w:cs="Arial"/>
          <w:sz w:val="24"/>
          <w:szCs w:val="24"/>
        </w:rPr>
        <w:t>reclamamos</w:t>
      </w:r>
      <w:r w:rsidR="00FF0566">
        <w:rPr>
          <w:rFonts w:ascii="Arial" w:hAnsi="Arial" w:cs="Arial"/>
          <w:sz w:val="24"/>
          <w:szCs w:val="24"/>
        </w:rPr>
        <w:t xml:space="preserve"> la p</w:t>
      </w:r>
      <w:r w:rsidR="00597926">
        <w:rPr>
          <w:rFonts w:ascii="Arial" w:hAnsi="Arial" w:cs="Arial"/>
          <w:sz w:val="24"/>
          <w:szCs w:val="24"/>
        </w:rPr>
        <w:t>romulgación</w:t>
      </w:r>
      <w:r w:rsidR="00E26809">
        <w:rPr>
          <w:rStyle w:val="Refdenotaalpie"/>
          <w:rFonts w:ascii="Arial" w:hAnsi="Arial" w:cs="Arial"/>
          <w:sz w:val="24"/>
          <w:szCs w:val="24"/>
        </w:rPr>
        <w:footnoteReference w:id="3"/>
      </w:r>
      <w:r w:rsidR="00CA667E">
        <w:rPr>
          <w:rFonts w:ascii="Arial" w:hAnsi="Arial" w:cs="Arial"/>
          <w:sz w:val="24"/>
          <w:szCs w:val="24"/>
        </w:rPr>
        <w:t>, expedición</w:t>
      </w:r>
      <w:r w:rsidR="00597926">
        <w:rPr>
          <w:rFonts w:ascii="Arial" w:hAnsi="Arial" w:cs="Arial"/>
          <w:sz w:val="24"/>
          <w:szCs w:val="24"/>
        </w:rPr>
        <w:t xml:space="preserve"> y </w:t>
      </w:r>
      <w:r w:rsidR="00FF0566">
        <w:rPr>
          <w:rFonts w:ascii="Arial" w:hAnsi="Arial" w:cs="Arial"/>
          <w:sz w:val="24"/>
          <w:szCs w:val="24"/>
        </w:rPr>
        <w:t xml:space="preserve">el </w:t>
      </w:r>
      <w:r w:rsidR="00597926">
        <w:rPr>
          <w:rFonts w:ascii="Arial" w:hAnsi="Arial" w:cs="Arial"/>
          <w:sz w:val="24"/>
          <w:szCs w:val="24"/>
        </w:rPr>
        <w:t>contenido de la norma general</w:t>
      </w:r>
      <w:r w:rsidR="00FF0566">
        <w:rPr>
          <w:rFonts w:ascii="Arial" w:hAnsi="Arial" w:cs="Arial"/>
          <w:sz w:val="24"/>
          <w:szCs w:val="24"/>
        </w:rPr>
        <w:t xml:space="preserve"> reclamada</w:t>
      </w:r>
      <w:r w:rsidR="00597926">
        <w:rPr>
          <w:rFonts w:ascii="Arial" w:hAnsi="Arial" w:cs="Arial"/>
          <w:sz w:val="24"/>
          <w:szCs w:val="24"/>
        </w:rPr>
        <w:t>)</w:t>
      </w:r>
      <w:r w:rsidR="00FF0566">
        <w:rPr>
          <w:rFonts w:ascii="Arial" w:hAnsi="Arial" w:cs="Arial"/>
          <w:sz w:val="24"/>
          <w:szCs w:val="24"/>
        </w:rPr>
        <w:t>.</w:t>
      </w:r>
    </w:p>
    <w:p w14:paraId="33A442A2" w14:textId="74E6CE6B" w:rsidR="0076799C" w:rsidRPr="0076799C" w:rsidRDefault="0076799C" w:rsidP="00C14417">
      <w:pPr>
        <w:pStyle w:val="Prrafodelista"/>
        <w:numPr>
          <w:ilvl w:val="0"/>
          <w:numId w:val="30"/>
        </w:numPr>
        <w:spacing w:before="240"/>
        <w:jc w:val="both"/>
        <w:rPr>
          <w:rFonts w:ascii="Arial" w:hAnsi="Arial" w:cs="Arial"/>
          <w:bCs/>
          <w:sz w:val="24"/>
          <w:szCs w:val="24"/>
        </w:rPr>
      </w:pPr>
      <w:r>
        <w:rPr>
          <w:rFonts w:ascii="Arial" w:hAnsi="Arial" w:cs="Arial"/>
          <w:b/>
          <w:sz w:val="24"/>
          <w:szCs w:val="24"/>
        </w:rPr>
        <w:lastRenderedPageBreak/>
        <w:t>Cámara de Diputados</w:t>
      </w:r>
      <w:r w:rsidR="00597926">
        <w:rPr>
          <w:rFonts w:ascii="Arial" w:hAnsi="Arial" w:cs="Arial"/>
          <w:sz w:val="24"/>
          <w:szCs w:val="24"/>
        </w:rPr>
        <w:t xml:space="preserve"> (</w:t>
      </w:r>
      <w:r w:rsidR="00FF0566">
        <w:rPr>
          <w:rFonts w:ascii="Arial" w:hAnsi="Arial" w:cs="Arial"/>
          <w:sz w:val="24"/>
          <w:szCs w:val="24"/>
        </w:rPr>
        <w:t xml:space="preserve">A quien le atribuimos la </w:t>
      </w:r>
      <w:r w:rsidR="00114C7B">
        <w:rPr>
          <w:rFonts w:ascii="Arial" w:hAnsi="Arial" w:cs="Arial"/>
          <w:sz w:val="24"/>
          <w:szCs w:val="24"/>
        </w:rPr>
        <w:t xml:space="preserve">discusión, </w:t>
      </w:r>
      <w:r w:rsidR="00CA667E">
        <w:rPr>
          <w:rFonts w:ascii="Arial" w:hAnsi="Arial" w:cs="Arial"/>
          <w:sz w:val="24"/>
          <w:szCs w:val="24"/>
        </w:rPr>
        <w:t xml:space="preserve">aprobación </w:t>
      </w:r>
      <w:r w:rsidR="00597926">
        <w:rPr>
          <w:rFonts w:ascii="Arial" w:hAnsi="Arial" w:cs="Arial"/>
          <w:sz w:val="24"/>
          <w:szCs w:val="24"/>
        </w:rPr>
        <w:t xml:space="preserve">y </w:t>
      </w:r>
      <w:r w:rsidR="00114C7B">
        <w:rPr>
          <w:rFonts w:ascii="Arial" w:hAnsi="Arial" w:cs="Arial"/>
          <w:sz w:val="24"/>
          <w:szCs w:val="24"/>
        </w:rPr>
        <w:t xml:space="preserve">el </w:t>
      </w:r>
      <w:r w:rsidR="00597926">
        <w:rPr>
          <w:rFonts w:ascii="Arial" w:hAnsi="Arial" w:cs="Arial"/>
          <w:sz w:val="24"/>
          <w:szCs w:val="24"/>
        </w:rPr>
        <w:t>contenido</w:t>
      </w:r>
      <w:r w:rsidR="00031A90">
        <w:rPr>
          <w:rFonts w:ascii="Arial" w:hAnsi="Arial" w:cs="Arial"/>
          <w:sz w:val="24"/>
          <w:szCs w:val="24"/>
        </w:rPr>
        <w:t xml:space="preserve"> de la norma general reclamada</w:t>
      </w:r>
      <w:r w:rsidR="00597926">
        <w:rPr>
          <w:rFonts w:ascii="Arial" w:hAnsi="Arial" w:cs="Arial"/>
          <w:sz w:val="24"/>
          <w:szCs w:val="24"/>
        </w:rPr>
        <w:t>)</w:t>
      </w:r>
      <w:r w:rsidR="00C14417">
        <w:rPr>
          <w:rFonts w:ascii="Arial" w:hAnsi="Arial" w:cs="Arial"/>
          <w:sz w:val="24"/>
          <w:szCs w:val="24"/>
        </w:rPr>
        <w:t>.</w:t>
      </w:r>
    </w:p>
    <w:p w14:paraId="3F9D0796" w14:textId="5589C958" w:rsidR="0076799C" w:rsidRPr="00A60871" w:rsidRDefault="0076799C" w:rsidP="00C14417">
      <w:pPr>
        <w:pStyle w:val="Prrafodelista"/>
        <w:numPr>
          <w:ilvl w:val="0"/>
          <w:numId w:val="30"/>
        </w:numPr>
        <w:spacing w:before="240"/>
        <w:jc w:val="both"/>
        <w:rPr>
          <w:rFonts w:ascii="Arial" w:hAnsi="Arial" w:cs="Arial"/>
          <w:bCs/>
          <w:sz w:val="24"/>
          <w:szCs w:val="24"/>
        </w:rPr>
      </w:pPr>
      <w:r>
        <w:rPr>
          <w:rFonts w:ascii="Arial" w:hAnsi="Arial" w:cs="Arial"/>
          <w:b/>
          <w:sz w:val="24"/>
          <w:szCs w:val="24"/>
        </w:rPr>
        <w:t>Cámara de Senadores</w:t>
      </w:r>
      <w:r w:rsidR="00597926">
        <w:rPr>
          <w:rFonts w:ascii="Arial" w:hAnsi="Arial" w:cs="Arial"/>
          <w:sz w:val="24"/>
          <w:szCs w:val="24"/>
        </w:rPr>
        <w:t xml:space="preserve"> (</w:t>
      </w:r>
      <w:r w:rsidR="00FF0566">
        <w:rPr>
          <w:rFonts w:ascii="Arial" w:hAnsi="Arial" w:cs="Arial"/>
          <w:sz w:val="24"/>
          <w:szCs w:val="24"/>
        </w:rPr>
        <w:t>A quien le atribuimos la</w:t>
      </w:r>
      <w:r w:rsidR="00114C7B">
        <w:rPr>
          <w:rFonts w:ascii="Arial" w:hAnsi="Arial" w:cs="Arial"/>
          <w:sz w:val="24"/>
          <w:szCs w:val="24"/>
        </w:rPr>
        <w:t xml:space="preserve"> discusión,</w:t>
      </w:r>
      <w:r w:rsidR="00FF0566">
        <w:rPr>
          <w:rFonts w:ascii="Arial" w:hAnsi="Arial" w:cs="Arial"/>
          <w:sz w:val="24"/>
          <w:szCs w:val="24"/>
        </w:rPr>
        <w:t xml:space="preserve"> </w:t>
      </w:r>
      <w:r w:rsidR="00CA667E">
        <w:rPr>
          <w:rFonts w:ascii="Arial" w:hAnsi="Arial" w:cs="Arial"/>
          <w:sz w:val="24"/>
          <w:szCs w:val="24"/>
        </w:rPr>
        <w:t xml:space="preserve">aprobación </w:t>
      </w:r>
      <w:r w:rsidR="00597926">
        <w:rPr>
          <w:rFonts w:ascii="Arial" w:hAnsi="Arial" w:cs="Arial"/>
          <w:sz w:val="24"/>
          <w:szCs w:val="24"/>
        </w:rPr>
        <w:t xml:space="preserve">y </w:t>
      </w:r>
      <w:r w:rsidR="00114C7B">
        <w:rPr>
          <w:rFonts w:ascii="Arial" w:hAnsi="Arial" w:cs="Arial"/>
          <w:sz w:val="24"/>
          <w:szCs w:val="24"/>
        </w:rPr>
        <w:t xml:space="preserve">el </w:t>
      </w:r>
      <w:r w:rsidR="00597926">
        <w:rPr>
          <w:rFonts w:ascii="Arial" w:hAnsi="Arial" w:cs="Arial"/>
          <w:sz w:val="24"/>
          <w:szCs w:val="24"/>
        </w:rPr>
        <w:t>contenido</w:t>
      </w:r>
      <w:r w:rsidR="00031A90">
        <w:rPr>
          <w:rFonts w:ascii="Arial" w:hAnsi="Arial" w:cs="Arial"/>
          <w:sz w:val="24"/>
          <w:szCs w:val="24"/>
        </w:rPr>
        <w:t xml:space="preserve"> de la norma general reclamada</w:t>
      </w:r>
      <w:r w:rsidR="00597926">
        <w:rPr>
          <w:rFonts w:ascii="Arial" w:hAnsi="Arial" w:cs="Arial"/>
          <w:sz w:val="24"/>
          <w:szCs w:val="24"/>
        </w:rPr>
        <w:t>)</w:t>
      </w:r>
      <w:r w:rsidR="00C14417">
        <w:rPr>
          <w:rFonts w:ascii="Arial" w:hAnsi="Arial" w:cs="Arial"/>
          <w:sz w:val="24"/>
          <w:szCs w:val="24"/>
        </w:rPr>
        <w:t>.</w:t>
      </w:r>
    </w:p>
    <w:p w14:paraId="1584CCD3" w14:textId="16ECA2A4" w:rsidR="00A60871" w:rsidRPr="00FE44F6" w:rsidRDefault="00FE44F6" w:rsidP="00A60871">
      <w:pPr>
        <w:spacing w:before="240"/>
        <w:ind w:firstLine="708"/>
        <w:jc w:val="both"/>
        <w:rPr>
          <w:rFonts w:ascii="Arial" w:hAnsi="Arial" w:cs="Arial"/>
          <w:bCs/>
          <w:sz w:val="24"/>
          <w:szCs w:val="24"/>
        </w:rPr>
      </w:pPr>
      <w:r>
        <w:rPr>
          <w:rFonts w:ascii="Arial" w:hAnsi="Arial" w:cs="Arial"/>
          <w:sz w:val="24"/>
          <w:szCs w:val="24"/>
        </w:rPr>
        <w:t>Por otra parte, a continuación señalamos a las a</w:t>
      </w:r>
      <w:r w:rsidR="00A60871" w:rsidRPr="00FE44F6">
        <w:rPr>
          <w:rFonts w:ascii="Arial" w:hAnsi="Arial" w:cs="Arial"/>
          <w:sz w:val="24"/>
          <w:szCs w:val="24"/>
        </w:rPr>
        <w:t xml:space="preserve">utoridades </w:t>
      </w:r>
      <w:r w:rsidR="00B52CAE">
        <w:rPr>
          <w:rFonts w:ascii="Arial" w:hAnsi="Arial" w:cs="Arial"/>
          <w:sz w:val="24"/>
          <w:szCs w:val="24"/>
        </w:rPr>
        <w:t xml:space="preserve">responsables </w:t>
      </w:r>
      <w:r w:rsidR="00A60871" w:rsidRPr="00FE44F6">
        <w:rPr>
          <w:rFonts w:ascii="Arial" w:hAnsi="Arial" w:cs="Arial"/>
          <w:sz w:val="24"/>
          <w:szCs w:val="24"/>
        </w:rPr>
        <w:t xml:space="preserve">vinculadas al cumplimiento de la </w:t>
      </w:r>
      <w:r w:rsidR="002B7F8B">
        <w:rPr>
          <w:rFonts w:ascii="Arial" w:hAnsi="Arial" w:cs="Arial"/>
          <w:sz w:val="24"/>
          <w:szCs w:val="24"/>
        </w:rPr>
        <w:t xml:space="preserve">futura </w:t>
      </w:r>
      <w:r w:rsidR="00A60871" w:rsidRPr="00FE44F6">
        <w:rPr>
          <w:rFonts w:ascii="Arial" w:hAnsi="Arial" w:cs="Arial"/>
          <w:sz w:val="24"/>
          <w:szCs w:val="24"/>
        </w:rPr>
        <w:t>sentencia de amparo</w:t>
      </w:r>
      <w:r w:rsidR="004C5FDB" w:rsidRPr="00FE44F6">
        <w:rPr>
          <w:rFonts w:ascii="Arial" w:hAnsi="Arial" w:cs="Arial"/>
          <w:sz w:val="24"/>
          <w:szCs w:val="24"/>
        </w:rPr>
        <w:t xml:space="preserve"> </w:t>
      </w:r>
      <w:r w:rsidR="002B7F8B">
        <w:rPr>
          <w:rFonts w:ascii="Arial" w:hAnsi="Arial" w:cs="Arial"/>
          <w:sz w:val="24"/>
          <w:szCs w:val="24"/>
        </w:rPr>
        <w:t xml:space="preserve">que </w:t>
      </w:r>
      <w:r w:rsidR="00740181">
        <w:rPr>
          <w:rFonts w:ascii="Arial" w:hAnsi="Arial" w:cs="Arial"/>
          <w:sz w:val="24"/>
          <w:szCs w:val="24"/>
        </w:rPr>
        <w:t xml:space="preserve">resuelva </w:t>
      </w:r>
      <w:r w:rsidR="00C247D4">
        <w:rPr>
          <w:rFonts w:ascii="Arial" w:hAnsi="Arial" w:cs="Arial"/>
          <w:sz w:val="24"/>
          <w:szCs w:val="24"/>
        </w:rPr>
        <w:t>el juicio de amparo derivado de la presente demanda,</w:t>
      </w:r>
      <w:r w:rsidR="002B7F8B">
        <w:rPr>
          <w:rFonts w:ascii="Arial" w:hAnsi="Arial" w:cs="Arial"/>
          <w:sz w:val="24"/>
          <w:szCs w:val="24"/>
        </w:rPr>
        <w:t xml:space="preserve"> </w:t>
      </w:r>
      <w:r w:rsidR="004C5FDB" w:rsidRPr="00FE44F6">
        <w:rPr>
          <w:rFonts w:ascii="Arial" w:hAnsi="Arial" w:cs="Arial"/>
          <w:sz w:val="24"/>
          <w:szCs w:val="24"/>
        </w:rPr>
        <w:t>de conformidad con el artículo</w:t>
      </w:r>
      <w:r w:rsidR="000E7BBB">
        <w:rPr>
          <w:rFonts w:ascii="Arial" w:hAnsi="Arial" w:cs="Arial"/>
          <w:sz w:val="24"/>
          <w:szCs w:val="24"/>
        </w:rPr>
        <w:t xml:space="preserve"> 78 y</w:t>
      </w:r>
      <w:r w:rsidR="004C5FDB" w:rsidRPr="00FE44F6">
        <w:rPr>
          <w:rFonts w:ascii="Arial" w:hAnsi="Arial" w:cs="Arial"/>
          <w:sz w:val="24"/>
          <w:szCs w:val="24"/>
        </w:rPr>
        <w:t xml:space="preserve"> 197 de la Ley de Amparo:</w:t>
      </w:r>
    </w:p>
    <w:p w14:paraId="399FA796" w14:textId="4E4E0E9C" w:rsidR="00064E65" w:rsidRPr="00597926" w:rsidRDefault="00064E65" w:rsidP="00C14417">
      <w:pPr>
        <w:pStyle w:val="Prrafodelista"/>
        <w:numPr>
          <w:ilvl w:val="0"/>
          <w:numId w:val="30"/>
        </w:numPr>
        <w:spacing w:before="240"/>
        <w:jc w:val="both"/>
        <w:rPr>
          <w:rFonts w:ascii="Arial" w:hAnsi="Arial" w:cs="Arial"/>
          <w:bCs/>
          <w:sz w:val="24"/>
          <w:szCs w:val="24"/>
        </w:rPr>
      </w:pPr>
      <w:r>
        <w:rPr>
          <w:rFonts w:ascii="Arial" w:hAnsi="Arial" w:cs="Arial"/>
          <w:b/>
          <w:sz w:val="24"/>
          <w:szCs w:val="24"/>
        </w:rPr>
        <w:t xml:space="preserve">Secretario de Seguridad </w:t>
      </w:r>
      <w:r w:rsidR="008D5FA4">
        <w:rPr>
          <w:rFonts w:ascii="Arial" w:hAnsi="Arial" w:cs="Arial"/>
          <w:b/>
          <w:sz w:val="24"/>
          <w:szCs w:val="24"/>
        </w:rPr>
        <w:t xml:space="preserve">y Protección </w:t>
      </w:r>
      <w:r>
        <w:rPr>
          <w:rFonts w:ascii="Arial" w:hAnsi="Arial" w:cs="Arial"/>
          <w:b/>
          <w:sz w:val="24"/>
          <w:szCs w:val="24"/>
        </w:rPr>
        <w:t>Ciudadana</w:t>
      </w:r>
      <w:r w:rsidR="00597926">
        <w:rPr>
          <w:rFonts w:ascii="Arial" w:hAnsi="Arial" w:cs="Arial"/>
          <w:b/>
          <w:sz w:val="24"/>
          <w:szCs w:val="24"/>
        </w:rPr>
        <w:t xml:space="preserve"> </w:t>
      </w:r>
      <w:r w:rsidR="00597926">
        <w:rPr>
          <w:rFonts w:ascii="Arial" w:hAnsi="Arial" w:cs="Arial"/>
          <w:sz w:val="24"/>
          <w:szCs w:val="24"/>
        </w:rPr>
        <w:t>(</w:t>
      </w:r>
      <w:r w:rsidR="00FF0566">
        <w:rPr>
          <w:rFonts w:ascii="Arial" w:hAnsi="Arial" w:cs="Arial"/>
          <w:sz w:val="24"/>
          <w:szCs w:val="24"/>
        </w:rPr>
        <w:t>A quien le atribuimos l</w:t>
      </w:r>
      <w:r w:rsidR="0034749F">
        <w:rPr>
          <w:rFonts w:ascii="Arial" w:hAnsi="Arial" w:cs="Arial"/>
          <w:sz w:val="24"/>
          <w:szCs w:val="24"/>
        </w:rPr>
        <w:t>as consecuenci</w:t>
      </w:r>
      <w:r w:rsidR="00FF0566">
        <w:rPr>
          <w:rFonts w:ascii="Arial" w:hAnsi="Arial" w:cs="Arial"/>
          <w:sz w:val="24"/>
          <w:szCs w:val="24"/>
        </w:rPr>
        <w:t xml:space="preserve">as de la norma general reclamada para que se les </w:t>
      </w:r>
      <w:r w:rsidR="00A4505F">
        <w:rPr>
          <w:rFonts w:ascii="Arial" w:hAnsi="Arial" w:cs="Arial"/>
          <w:sz w:val="24"/>
          <w:szCs w:val="24"/>
        </w:rPr>
        <w:t xml:space="preserve">vincule </w:t>
      </w:r>
      <w:r w:rsidR="00FF0566">
        <w:rPr>
          <w:rFonts w:ascii="Arial" w:hAnsi="Arial" w:cs="Arial"/>
          <w:sz w:val="24"/>
          <w:szCs w:val="24"/>
        </w:rPr>
        <w:t>al cumplimiento de la</w:t>
      </w:r>
      <w:r w:rsidR="00A4505F">
        <w:rPr>
          <w:rFonts w:ascii="Arial" w:hAnsi="Arial" w:cs="Arial"/>
          <w:sz w:val="24"/>
          <w:szCs w:val="24"/>
        </w:rPr>
        <w:t xml:space="preserve"> suspensión y de la</w:t>
      </w:r>
      <w:r w:rsidR="00FF0566">
        <w:rPr>
          <w:rFonts w:ascii="Arial" w:hAnsi="Arial" w:cs="Arial"/>
          <w:sz w:val="24"/>
          <w:szCs w:val="24"/>
        </w:rPr>
        <w:t xml:space="preserve"> sentencia de amparo y</w:t>
      </w:r>
      <w:r w:rsidR="0034749F">
        <w:rPr>
          <w:rFonts w:ascii="Arial" w:hAnsi="Arial" w:cs="Arial"/>
          <w:sz w:val="24"/>
          <w:szCs w:val="24"/>
        </w:rPr>
        <w:t xml:space="preserve"> </w:t>
      </w:r>
      <w:r w:rsidR="00F44D9D">
        <w:rPr>
          <w:rFonts w:ascii="Arial" w:hAnsi="Arial" w:cs="Arial"/>
          <w:sz w:val="24"/>
          <w:szCs w:val="24"/>
        </w:rPr>
        <w:t xml:space="preserve">en su momento </w:t>
      </w:r>
      <w:r w:rsidR="00911EC7">
        <w:rPr>
          <w:rFonts w:ascii="Arial" w:hAnsi="Arial" w:cs="Arial"/>
          <w:sz w:val="24"/>
          <w:szCs w:val="24"/>
        </w:rPr>
        <w:t>desincorpore</w:t>
      </w:r>
      <w:r w:rsidR="00FF0566">
        <w:rPr>
          <w:rFonts w:ascii="Arial" w:hAnsi="Arial" w:cs="Arial"/>
          <w:sz w:val="24"/>
          <w:szCs w:val="24"/>
        </w:rPr>
        <w:t xml:space="preserve">n la norma </w:t>
      </w:r>
      <w:r w:rsidR="00A4505F">
        <w:rPr>
          <w:rFonts w:ascii="Arial" w:hAnsi="Arial" w:cs="Arial"/>
          <w:sz w:val="24"/>
          <w:szCs w:val="24"/>
        </w:rPr>
        <w:t>de la esfera jurídica de los</w:t>
      </w:r>
      <w:r w:rsidR="00911EC7">
        <w:rPr>
          <w:rFonts w:ascii="Arial" w:hAnsi="Arial" w:cs="Arial"/>
          <w:sz w:val="24"/>
          <w:szCs w:val="24"/>
        </w:rPr>
        <w:t xml:space="preserve"> quejoso</w:t>
      </w:r>
      <w:r w:rsidR="00A4505F">
        <w:rPr>
          <w:rFonts w:ascii="Arial" w:hAnsi="Arial" w:cs="Arial"/>
          <w:sz w:val="24"/>
          <w:szCs w:val="24"/>
        </w:rPr>
        <w:t>s</w:t>
      </w:r>
      <w:r w:rsidR="00597926">
        <w:rPr>
          <w:rFonts w:ascii="Arial" w:hAnsi="Arial" w:cs="Arial"/>
          <w:sz w:val="24"/>
          <w:szCs w:val="24"/>
        </w:rPr>
        <w:t>).</w:t>
      </w:r>
    </w:p>
    <w:p w14:paraId="35A404BF" w14:textId="645AF314" w:rsidR="00597926" w:rsidRPr="004C1D63" w:rsidRDefault="00597926" w:rsidP="00C14417">
      <w:pPr>
        <w:pStyle w:val="Prrafodelista"/>
        <w:numPr>
          <w:ilvl w:val="0"/>
          <w:numId w:val="30"/>
        </w:numPr>
        <w:spacing w:before="240"/>
        <w:jc w:val="both"/>
        <w:rPr>
          <w:rFonts w:ascii="Arial" w:hAnsi="Arial" w:cs="Arial"/>
          <w:bCs/>
          <w:sz w:val="24"/>
          <w:szCs w:val="24"/>
        </w:rPr>
      </w:pPr>
      <w:r>
        <w:rPr>
          <w:rFonts w:ascii="Arial" w:hAnsi="Arial" w:cs="Arial"/>
          <w:b/>
          <w:sz w:val="24"/>
          <w:szCs w:val="24"/>
        </w:rPr>
        <w:t xml:space="preserve">Secretaría de la Defensa Nacional </w:t>
      </w:r>
      <w:r>
        <w:rPr>
          <w:rFonts w:ascii="Arial" w:hAnsi="Arial" w:cs="Arial"/>
          <w:sz w:val="24"/>
          <w:szCs w:val="24"/>
        </w:rPr>
        <w:t>(</w:t>
      </w:r>
      <w:r w:rsidR="009946AD">
        <w:rPr>
          <w:rFonts w:ascii="Arial" w:hAnsi="Arial" w:cs="Arial"/>
          <w:sz w:val="24"/>
          <w:szCs w:val="24"/>
        </w:rPr>
        <w:t>A quien le atribuimos las consecuencias de la norma general reclamada para que se les vincule al cumplimiento de la suspensión y de la sentencia de amparo y</w:t>
      </w:r>
      <w:r w:rsidR="00F44D9D">
        <w:rPr>
          <w:rFonts w:ascii="Arial" w:hAnsi="Arial" w:cs="Arial"/>
          <w:sz w:val="24"/>
          <w:szCs w:val="24"/>
        </w:rPr>
        <w:t xml:space="preserve"> en su momento</w:t>
      </w:r>
      <w:r w:rsidR="009946AD">
        <w:rPr>
          <w:rFonts w:ascii="Arial" w:hAnsi="Arial" w:cs="Arial"/>
          <w:sz w:val="24"/>
          <w:szCs w:val="24"/>
        </w:rPr>
        <w:t xml:space="preserve"> desincorporen la norma de la esfera jurídica de los quejosos</w:t>
      </w:r>
      <w:r>
        <w:rPr>
          <w:rFonts w:ascii="Arial" w:hAnsi="Arial" w:cs="Arial"/>
          <w:sz w:val="24"/>
          <w:szCs w:val="24"/>
        </w:rPr>
        <w:t>).</w:t>
      </w:r>
    </w:p>
    <w:p w14:paraId="53CC9F93" w14:textId="77777777" w:rsidR="004C1D63" w:rsidRPr="004C1D63" w:rsidRDefault="004C1D63" w:rsidP="004C1D63">
      <w:pPr>
        <w:pStyle w:val="Prrafodelista"/>
        <w:numPr>
          <w:ilvl w:val="0"/>
          <w:numId w:val="30"/>
        </w:numPr>
        <w:spacing w:before="240"/>
        <w:jc w:val="both"/>
        <w:rPr>
          <w:rFonts w:ascii="Arial" w:hAnsi="Arial" w:cs="Arial"/>
          <w:bCs/>
          <w:sz w:val="24"/>
          <w:szCs w:val="24"/>
        </w:rPr>
      </w:pPr>
      <w:r>
        <w:rPr>
          <w:rFonts w:ascii="Arial" w:hAnsi="Arial" w:cs="Arial"/>
          <w:b/>
          <w:sz w:val="24"/>
          <w:szCs w:val="24"/>
        </w:rPr>
        <w:t xml:space="preserve">Secretaria de Marina </w:t>
      </w:r>
      <w:r>
        <w:rPr>
          <w:rFonts w:ascii="Arial" w:hAnsi="Arial" w:cs="Arial"/>
          <w:sz w:val="24"/>
          <w:szCs w:val="24"/>
        </w:rPr>
        <w:t>(A quien le atribuimos las consecuencias de la norma general reclamada para que se les vincule al cumplimiento de la suspensión y de la sentencia de amparo y en su momento desincorporen la norma de la esfera jurídica de los quejosos).</w:t>
      </w:r>
    </w:p>
    <w:p w14:paraId="03B6F7AE" w14:textId="77777777" w:rsidR="00B52CAE" w:rsidRPr="00B52CAE" w:rsidRDefault="00B52CAE" w:rsidP="00B52CAE">
      <w:pPr>
        <w:pStyle w:val="Prrafodelista"/>
        <w:numPr>
          <w:ilvl w:val="0"/>
          <w:numId w:val="30"/>
        </w:numPr>
        <w:spacing w:before="240"/>
        <w:jc w:val="both"/>
        <w:rPr>
          <w:rFonts w:ascii="Arial" w:hAnsi="Arial" w:cs="Arial"/>
          <w:bCs/>
          <w:sz w:val="24"/>
          <w:szCs w:val="24"/>
        </w:rPr>
      </w:pPr>
      <w:r>
        <w:rPr>
          <w:rFonts w:ascii="Arial" w:hAnsi="Arial" w:cs="Arial"/>
          <w:b/>
          <w:sz w:val="24"/>
          <w:szCs w:val="24"/>
        </w:rPr>
        <w:t xml:space="preserve">Secretaría de Hacienda y Crédito Público </w:t>
      </w:r>
      <w:r>
        <w:rPr>
          <w:rFonts w:ascii="Arial" w:hAnsi="Arial" w:cs="Arial"/>
          <w:sz w:val="24"/>
          <w:szCs w:val="24"/>
        </w:rPr>
        <w:t>(A quien le atribuimos las consecuencias de la norma general reclamada para que se les vincule al cumplimiento de la suspensión y de la sentencia de amparo y en su momento desincorporen la norma de la esfera jurídica de los quejosos).</w:t>
      </w:r>
    </w:p>
    <w:p w14:paraId="3F7E100C" w14:textId="77777777" w:rsidR="006D1D95" w:rsidRDefault="002A06EC" w:rsidP="006D1D95">
      <w:pPr>
        <w:spacing w:after="0"/>
        <w:ind w:firstLine="708"/>
        <w:jc w:val="both"/>
        <w:rPr>
          <w:rFonts w:ascii="Arial" w:hAnsi="Arial" w:cs="Arial"/>
          <w:b/>
          <w:bCs/>
          <w:sz w:val="24"/>
          <w:szCs w:val="24"/>
        </w:rPr>
      </w:pPr>
      <w:r w:rsidRPr="00EF2874">
        <w:rPr>
          <w:rFonts w:ascii="Arial" w:hAnsi="Arial" w:cs="Arial"/>
          <w:b/>
          <w:bCs/>
          <w:sz w:val="24"/>
          <w:szCs w:val="24"/>
        </w:rPr>
        <w:t xml:space="preserve">IV.- ACTO </w:t>
      </w:r>
      <w:r w:rsidR="006D6D19">
        <w:rPr>
          <w:rFonts w:ascii="Arial" w:hAnsi="Arial" w:cs="Arial"/>
          <w:b/>
          <w:bCs/>
          <w:sz w:val="24"/>
          <w:szCs w:val="24"/>
        </w:rPr>
        <w:t xml:space="preserve">RECLAMADO. </w:t>
      </w:r>
    </w:p>
    <w:p w14:paraId="34ABE0FC" w14:textId="296C8FB4" w:rsidR="00D42763" w:rsidRPr="008C6857" w:rsidRDefault="006D1D95" w:rsidP="006D1D95">
      <w:pPr>
        <w:spacing w:after="0"/>
        <w:ind w:firstLine="708"/>
        <w:jc w:val="both"/>
        <w:rPr>
          <w:rFonts w:ascii="Arial" w:hAnsi="Arial" w:cs="Arial"/>
          <w:sz w:val="24"/>
          <w:u w:val="single"/>
        </w:rPr>
      </w:pPr>
      <w:r w:rsidRPr="008C6857">
        <w:rPr>
          <w:rFonts w:ascii="Arial" w:hAnsi="Arial" w:cs="Arial"/>
          <w:bCs/>
          <w:sz w:val="24"/>
          <w:szCs w:val="24"/>
          <w:u w:val="single"/>
        </w:rPr>
        <w:t>R</w:t>
      </w:r>
      <w:r w:rsidR="004F5E5F" w:rsidRPr="008C6857">
        <w:rPr>
          <w:rFonts w:ascii="Arial" w:hAnsi="Arial" w:cs="Arial"/>
          <w:bCs/>
          <w:sz w:val="24"/>
          <w:szCs w:val="24"/>
          <w:u w:val="single"/>
        </w:rPr>
        <w:t>eclamamos</w:t>
      </w:r>
      <w:r w:rsidRPr="008C6857">
        <w:rPr>
          <w:rFonts w:ascii="Arial" w:hAnsi="Arial" w:cs="Arial"/>
          <w:bCs/>
          <w:sz w:val="24"/>
          <w:szCs w:val="24"/>
          <w:u w:val="single"/>
        </w:rPr>
        <w:t xml:space="preserve"> </w:t>
      </w:r>
      <w:r w:rsidR="00F53278" w:rsidRPr="008C6857">
        <w:rPr>
          <w:rFonts w:ascii="Arial" w:hAnsi="Arial" w:cs="Arial"/>
          <w:bCs/>
          <w:sz w:val="24"/>
          <w:szCs w:val="24"/>
          <w:u w:val="single"/>
        </w:rPr>
        <w:t>por su sola entrada en vigor</w:t>
      </w:r>
      <w:r w:rsidR="008C6857" w:rsidRPr="008C6857">
        <w:rPr>
          <w:rFonts w:ascii="Arial" w:hAnsi="Arial" w:cs="Arial"/>
          <w:bCs/>
          <w:sz w:val="24"/>
          <w:szCs w:val="24"/>
          <w:u w:val="single"/>
        </w:rPr>
        <w:t xml:space="preserve"> (forma </w:t>
      </w:r>
      <w:r w:rsidR="008C6857" w:rsidRPr="008C6857">
        <w:rPr>
          <w:rFonts w:ascii="Arial" w:hAnsi="Arial" w:cs="Arial"/>
          <w:bCs/>
          <w:i/>
          <w:sz w:val="24"/>
          <w:szCs w:val="24"/>
          <w:u w:val="single"/>
        </w:rPr>
        <w:t>autoaplicativa</w:t>
      </w:r>
      <w:r w:rsidR="008C6857" w:rsidRPr="008C6857">
        <w:rPr>
          <w:rFonts w:ascii="Arial" w:hAnsi="Arial" w:cs="Arial"/>
          <w:bCs/>
          <w:sz w:val="24"/>
          <w:szCs w:val="24"/>
          <w:u w:val="single"/>
        </w:rPr>
        <w:t xml:space="preserve">) </w:t>
      </w:r>
      <w:r w:rsidRPr="008C6857">
        <w:rPr>
          <w:rFonts w:ascii="Arial" w:hAnsi="Arial" w:cs="Arial"/>
          <w:bCs/>
          <w:sz w:val="24"/>
          <w:szCs w:val="24"/>
          <w:u w:val="single"/>
        </w:rPr>
        <w:t>del</w:t>
      </w:r>
      <w:r>
        <w:rPr>
          <w:rFonts w:ascii="Arial" w:hAnsi="Arial" w:cs="Arial"/>
          <w:bCs/>
          <w:sz w:val="24"/>
          <w:szCs w:val="24"/>
        </w:rPr>
        <w:t xml:space="preserve"> </w:t>
      </w:r>
      <w:r w:rsidR="008C6857">
        <w:rPr>
          <w:rFonts w:ascii="Arial" w:hAnsi="Arial" w:cs="Arial"/>
          <w:bCs/>
          <w:sz w:val="24"/>
          <w:szCs w:val="24"/>
        </w:rPr>
        <w:t>“</w:t>
      </w:r>
      <w:r w:rsidR="005316EE" w:rsidRPr="006D1D95">
        <w:rPr>
          <w:rFonts w:ascii="Arial" w:hAnsi="Arial" w:cs="Arial"/>
          <w:i/>
          <w:sz w:val="24"/>
        </w:rPr>
        <w:t>Decreto por el que se reforman, adicionan y derogan diversas disposiciones de la Ley Orgánica de la Administración Pública Federal; de la Ley de la Guardia Nacional; de la Ley Orgánica del Ejército y Fuerza Aérea Mexicanos, y de la Ley de Ascensos y Recompensas del Ejército y Fuerza Aérea Mexicanos, en Materia de Guardia Nacional y Seguridad Publica</w:t>
      </w:r>
      <w:r w:rsidR="00052747" w:rsidRPr="006D1D95">
        <w:rPr>
          <w:rFonts w:ascii="Arial" w:hAnsi="Arial" w:cs="Arial"/>
          <w:i/>
          <w:sz w:val="24"/>
        </w:rPr>
        <w:t xml:space="preserve">, </w:t>
      </w:r>
      <w:r w:rsidR="005316EE" w:rsidRPr="006D1D95">
        <w:rPr>
          <w:rFonts w:ascii="Arial" w:hAnsi="Arial" w:cs="Arial"/>
          <w:i/>
          <w:sz w:val="24"/>
        </w:rPr>
        <w:t>publicado el nueve de septiembre de dos mil veintidós en el Diario Oficial de l</w:t>
      </w:r>
      <w:r w:rsidR="009D6EF4" w:rsidRPr="006D1D95">
        <w:rPr>
          <w:rFonts w:ascii="Arial" w:hAnsi="Arial" w:cs="Arial"/>
          <w:i/>
          <w:sz w:val="24"/>
        </w:rPr>
        <w:t>a Federación</w:t>
      </w:r>
      <w:r w:rsidR="00B20C90">
        <w:rPr>
          <w:rStyle w:val="Refdenotaalpie"/>
          <w:rFonts w:ascii="Arial" w:hAnsi="Arial" w:cs="Arial"/>
          <w:i/>
          <w:sz w:val="24"/>
        </w:rPr>
        <w:footnoteReference w:id="4"/>
      </w:r>
      <w:r w:rsidR="009D6EF4" w:rsidRPr="006D1D95">
        <w:rPr>
          <w:rFonts w:ascii="Arial" w:hAnsi="Arial" w:cs="Arial"/>
          <w:i/>
          <w:sz w:val="24"/>
        </w:rPr>
        <w:t xml:space="preserve">, y </w:t>
      </w:r>
      <w:r w:rsidR="008C6857">
        <w:rPr>
          <w:rFonts w:ascii="Arial" w:hAnsi="Arial" w:cs="Arial"/>
          <w:i/>
          <w:sz w:val="24"/>
        </w:rPr>
        <w:t xml:space="preserve">que </w:t>
      </w:r>
      <w:r w:rsidR="009D6EF4" w:rsidRPr="006D1D95">
        <w:rPr>
          <w:rFonts w:ascii="Arial" w:hAnsi="Arial" w:cs="Arial"/>
          <w:i/>
          <w:sz w:val="24"/>
        </w:rPr>
        <w:t>entró en vigor al día</w:t>
      </w:r>
      <w:r w:rsidRPr="006D1D95">
        <w:rPr>
          <w:rFonts w:ascii="Arial" w:hAnsi="Arial" w:cs="Arial"/>
          <w:i/>
          <w:sz w:val="24"/>
        </w:rPr>
        <w:t xml:space="preserve"> siguiente de dicha publicación</w:t>
      </w:r>
      <w:r w:rsidR="008C6857">
        <w:rPr>
          <w:rFonts w:ascii="Arial" w:hAnsi="Arial" w:cs="Arial"/>
          <w:i/>
          <w:sz w:val="24"/>
        </w:rPr>
        <w:t>”</w:t>
      </w:r>
      <w:r>
        <w:rPr>
          <w:rFonts w:ascii="Arial" w:hAnsi="Arial" w:cs="Arial"/>
          <w:sz w:val="24"/>
        </w:rPr>
        <w:t xml:space="preserve">, </w:t>
      </w:r>
      <w:r w:rsidR="009C7888" w:rsidRPr="008C6857">
        <w:rPr>
          <w:rFonts w:ascii="Arial" w:hAnsi="Arial" w:cs="Arial"/>
          <w:sz w:val="24"/>
          <w:u w:val="single"/>
        </w:rPr>
        <w:t>los</w:t>
      </w:r>
      <w:r w:rsidR="008C6857" w:rsidRPr="008C6857">
        <w:rPr>
          <w:rFonts w:ascii="Arial" w:hAnsi="Arial" w:cs="Arial"/>
          <w:sz w:val="24"/>
          <w:u w:val="single"/>
        </w:rPr>
        <w:t xml:space="preserve"> siguientes</w:t>
      </w:r>
      <w:r w:rsidR="009C7888" w:rsidRPr="008C6857">
        <w:rPr>
          <w:rFonts w:ascii="Arial" w:hAnsi="Arial" w:cs="Arial"/>
          <w:sz w:val="24"/>
          <w:u w:val="single"/>
        </w:rPr>
        <w:t xml:space="preserve"> artículos:</w:t>
      </w:r>
    </w:p>
    <w:p w14:paraId="6D0D1C99" w14:textId="2035333A" w:rsidR="009C7888" w:rsidRPr="008C6857" w:rsidRDefault="009C7888" w:rsidP="008C6857">
      <w:pPr>
        <w:pStyle w:val="Prrafodelista"/>
        <w:numPr>
          <w:ilvl w:val="0"/>
          <w:numId w:val="42"/>
        </w:numPr>
        <w:spacing w:before="240"/>
        <w:ind w:right="49"/>
        <w:jc w:val="both"/>
        <w:rPr>
          <w:rFonts w:ascii="Arial" w:hAnsi="Arial" w:cs="Arial"/>
          <w:sz w:val="24"/>
          <w:szCs w:val="24"/>
          <w:shd w:val="clear" w:color="auto" w:fill="FFFFFF"/>
        </w:rPr>
      </w:pPr>
      <w:r w:rsidRPr="008C6857">
        <w:rPr>
          <w:rFonts w:ascii="Arial" w:hAnsi="Arial" w:cs="Arial"/>
          <w:b/>
          <w:sz w:val="24"/>
          <w:szCs w:val="24"/>
          <w:shd w:val="clear" w:color="auto" w:fill="FFFFFF"/>
        </w:rPr>
        <w:t>Artículo Primero del Decreto aludido</w:t>
      </w:r>
      <w:r w:rsidRPr="008C6857">
        <w:rPr>
          <w:rFonts w:ascii="Arial" w:hAnsi="Arial" w:cs="Arial"/>
          <w:sz w:val="24"/>
          <w:szCs w:val="24"/>
          <w:shd w:val="clear" w:color="auto" w:fill="FFFFFF"/>
        </w:rPr>
        <w:t xml:space="preserve">, en específico el artículo </w:t>
      </w:r>
      <w:r w:rsidRPr="008C6857">
        <w:rPr>
          <w:rFonts w:ascii="Arial" w:hAnsi="Arial" w:cs="Arial"/>
          <w:b/>
          <w:sz w:val="24"/>
          <w:szCs w:val="24"/>
          <w:shd w:val="clear" w:color="auto" w:fill="FFFFFF"/>
        </w:rPr>
        <w:t>29, fracción IV</w:t>
      </w:r>
      <w:r w:rsidRPr="008C6857">
        <w:rPr>
          <w:rFonts w:ascii="Arial" w:hAnsi="Arial" w:cs="Arial"/>
          <w:sz w:val="24"/>
          <w:szCs w:val="24"/>
          <w:shd w:val="clear" w:color="auto" w:fill="FFFFFF"/>
        </w:rPr>
        <w:t>, de la Ley Orgánica de la Administración Pública Federal</w:t>
      </w:r>
      <w:r w:rsidR="00E72D86" w:rsidRPr="008C6857">
        <w:rPr>
          <w:rFonts w:ascii="Arial" w:hAnsi="Arial" w:cs="Arial"/>
          <w:sz w:val="24"/>
          <w:szCs w:val="24"/>
          <w:shd w:val="clear" w:color="auto" w:fill="FFFFFF"/>
        </w:rPr>
        <w:t>.</w:t>
      </w:r>
    </w:p>
    <w:p w14:paraId="2B0EFB84" w14:textId="77777777" w:rsidR="009C7888" w:rsidRPr="008C6857" w:rsidRDefault="009C7888" w:rsidP="008C6857">
      <w:pPr>
        <w:pStyle w:val="Prrafodelista"/>
        <w:numPr>
          <w:ilvl w:val="0"/>
          <w:numId w:val="42"/>
        </w:numPr>
        <w:spacing w:before="240"/>
        <w:ind w:right="49"/>
        <w:jc w:val="both"/>
        <w:rPr>
          <w:rFonts w:ascii="Arial" w:hAnsi="Arial" w:cs="Arial"/>
          <w:sz w:val="24"/>
          <w:szCs w:val="24"/>
          <w:shd w:val="clear" w:color="auto" w:fill="FFFFFF"/>
        </w:rPr>
      </w:pPr>
      <w:r w:rsidRPr="008C6857">
        <w:rPr>
          <w:rFonts w:ascii="Arial" w:hAnsi="Arial" w:cs="Arial"/>
          <w:b/>
          <w:sz w:val="24"/>
          <w:szCs w:val="24"/>
          <w:shd w:val="clear" w:color="auto" w:fill="FFFFFF"/>
        </w:rPr>
        <w:t>Artículo Segundo del Decreto</w:t>
      </w:r>
      <w:r w:rsidRPr="008C6857">
        <w:rPr>
          <w:rFonts w:ascii="Arial" w:hAnsi="Arial" w:cs="Arial"/>
          <w:sz w:val="24"/>
          <w:szCs w:val="24"/>
          <w:shd w:val="clear" w:color="auto" w:fill="FFFFFF"/>
        </w:rPr>
        <w:t xml:space="preserve">, en específico los artículos </w:t>
      </w:r>
      <w:r w:rsidRPr="008C6857">
        <w:rPr>
          <w:rFonts w:ascii="Arial" w:hAnsi="Arial" w:cs="Arial"/>
          <w:b/>
          <w:sz w:val="24"/>
          <w:szCs w:val="24"/>
          <w:shd w:val="clear" w:color="auto" w:fill="FFFFFF"/>
        </w:rPr>
        <w:t>7, fracción VII, 12, fracción I, 13 Bis, fracciones I, II, III, V y VI, 14, primer párrafo, 15, fracción II, VII y VIII, 32 Bis, 39 y 86 fracción III</w:t>
      </w:r>
      <w:r w:rsidRPr="008C6857">
        <w:rPr>
          <w:rFonts w:ascii="Arial" w:hAnsi="Arial" w:cs="Arial"/>
          <w:sz w:val="24"/>
          <w:szCs w:val="24"/>
          <w:shd w:val="clear" w:color="auto" w:fill="FFFFFF"/>
        </w:rPr>
        <w:t>, de la Ley de la Guardia Nacional.</w:t>
      </w:r>
    </w:p>
    <w:p w14:paraId="78D3BA03" w14:textId="77777777" w:rsidR="009C7888" w:rsidRPr="008C6857" w:rsidRDefault="009C7888" w:rsidP="008C6857">
      <w:pPr>
        <w:pStyle w:val="Prrafodelista"/>
        <w:numPr>
          <w:ilvl w:val="0"/>
          <w:numId w:val="42"/>
        </w:numPr>
        <w:spacing w:before="240"/>
        <w:ind w:right="49"/>
        <w:jc w:val="both"/>
        <w:rPr>
          <w:rFonts w:ascii="Arial" w:hAnsi="Arial" w:cs="Arial"/>
          <w:sz w:val="24"/>
          <w:szCs w:val="24"/>
          <w:shd w:val="clear" w:color="auto" w:fill="FFFFFF"/>
        </w:rPr>
      </w:pPr>
      <w:r w:rsidRPr="008C6857">
        <w:rPr>
          <w:rFonts w:ascii="Arial" w:hAnsi="Arial" w:cs="Arial"/>
          <w:b/>
          <w:sz w:val="24"/>
          <w:szCs w:val="24"/>
          <w:shd w:val="clear" w:color="auto" w:fill="FFFFFF"/>
        </w:rPr>
        <w:t>Artículo Tercero del Decreto</w:t>
      </w:r>
      <w:r w:rsidRPr="008C6857">
        <w:rPr>
          <w:rFonts w:ascii="Arial" w:hAnsi="Arial" w:cs="Arial"/>
          <w:sz w:val="24"/>
          <w:szCs w:val="24"/>
          <w:shd w:val="clear" w:color="auto" w:fill="FFFFFF"/>
        </w:rPr>
        <w:t xml:space="preserve">, en específico los artículos </w:t>
      </w:r>
      <w:r w:rsidRPr="008C6857">
        <w:rPr>
          <w:rFonts w:ascii="Arial" w:hAnsi="Arial" w:cs="Arial"/>
          <w:b/>
          <w:sz w:val="24"/>
          <w:szCs w:val="24"/>
          <w:shd w:val="clear" w:color="auto" w:fill="FFFFFF"/>
        </w:rPr>
        <w:t>2/o Bis, 138, fracción VII</w:t>
      </w:r>
      <w:r w:rsidRPr="008C6857">
        <w:rPr>
          <w:rFonts w:ascii="Arial" w:hAnsi="Arial" w:cs="Arial"/>
          <w:sz w:val="24"/>
          <w:szCs w:val="24"/>
          <w:shd w:val="clear" w:color="auto" w:fill="FFFFFF"/>
        </w:rPr>
        <w:t>, de la Ley Orgánica del Ejército y Fuerza Aérea Mexicanos.</w:t>
      </w:r>
    </w:p>
    <w:p w14:paraId="659E5C9F" w14:textId="74B3DB38" w:rsidR="00052747" w:rsidRPr="008C6857" w:rsidRDefault="009C7888" w:rsidP="008C6857">
      <w:pPr>
        <w:pStyle w:val="Prrafodelista"/>
        <w:numPr>
          <w:ilvl w:val="0"/>
          <w:numId w:val="42"/>
        </w:numPr>
        <w:spacing w:before="240"/>
        <w:ind w:right="49"/>
        <w:jc w:val="both"/>
        <w:rPr>
          <w:rFonts w:ascii="Arial" w:hAnsi="Arial" w:cs="Arial"/>
          <w:sz w:val="24"/>
          <w:szCs w:val="24"/>
        </w:rPr>
      </w:pPr>
      <w:r w:rsidRPr="008C6857">
        <w:rPr>
          <w:rFonts w:ascii="Arial" w:hAnsi="Arial" w:cs="Arial"/>
          <w:b/>
          <w:sz w:val="24"/>
          <w:szCs w:val="24"/>
        </w:rPr>
        <w:t>Artículo</w:t>
      </w:r>
      <w:r w:rsidR="008C6857">
        <w:rPr>
          <w:rFonts w:ascii="Arial" w:hAnsi="Arial" w:cs="Arial"/>
          <w:b/>
          <w:sz w:val="24"/>
          <w:szCs w:val="24"/>
        </w:rPr>
        <w:t>s</w:t>
      </w:r>
      <w:r w:rsidRPr="008C6857">
        <w:rPr>
          <w:rFonts w:ascii="Arial" w:hAnsi="Arial" w:cs="Arial"/>
          <w:b/>
          <w:sz w:val="24"/>
          <w:szCs w:val="24"/>
        </w:rPr>
        <w:t xml:space="preserve"> </w:t>
      </w:r>
      <w:r w:rsidR="0048334E">
        <w:rPr>
          <w:rFonts w:ascii="Arial" w:hAnsi="Arial" w:cs="Arial"/>
          <w:b/>
          <w:sz w:val="24"/>
          <w:szCs w:val="24"/>
        </w:rPr>
        <w:t xml:space="preserve">Segundo, </w:t>
      </w:r>
      <w:r w:rsidRPr="008C6857">
        <w:rPr>
          <w:rFonts w:ascii="Arial" w:hAnsi="Arial" w:cs="Arial"/>
          <w:b/>
          <w:sz w:val="24"/>
          <w:szCs w:val="24"/>
        </w:rPr>
        <w:t>Tercero, Quinto, Sexto</w:t>
      </w:r>
      <w:r w:rsidR="00346E4D">
        <w:rPr>
          <w:rFonts w:ascii="Arial" w:hAnsi="Arial" w:cs="Arial"/>
          <w:b/>
          <w:sz w:val="24"/>
          <w:szCs w:val="24"/>
        </w:rPr>
        <w:t xml:space="preserve">, </w:t>
      </w:r>
      <w:r w:rsidR="00C96F8B">
        <w:rPr>
          <w:rFonts w:ascii="Arial" w:hAnsi="Arial" w:cs="Arial"/>
          <w:b/>
          <w:sz w:val="24"/>
          <w:szCs w:val="24"/>
        </w:rPr>
        <w:t xml:space="preserve">Séptimo, </w:t>
      </w:r>
      <w:r w:rsidR="00346E4D">
        <w:rPr>
          <w:rFonts w:ascii="Arial" w:hAnsi="Arial" w:cs="Arial"/>
          <w:b/>
          <w:sz w:val="24"/>
          <w:szCs w:val="24"/>
        </w:rPr>
        <w:t>Octavo</w:t>
      </w:r>
      <w:r w:rsidR="00346E4D" w:rsidRPr="00346E4D">
        <w:rPr>
          <w:rFonts w:ascii="Arial" w:hAnsi="Arial" w:cs="Arial"/>
          <w:sz w:val="24"/>
          <w:szCs w:val="24"/>
        </w:rPr>
        <w:t xml:space="preserve"> y</w:t>
      </w:r>
      <w:r w:rsidRPr="008C6857">
        <w:rPr>
          <w:rFonts w:ascii="Arial" w:hAnsi="Arial" w:cs="Arial"/>
          <w:b/>
          <w:sz w:val="24"/>
          <w:szCs w:val="24"/>
        </w:rPr>
        <w:t xml:space="preserve"> Noveno Transitorios</w:t>
      </w:r>
      <w:r w:rsidRPr="008C6857">
        <w:rPr>
          <w:rFonts w:ascii="Arial" w:hAnsi="Arial" w:cs="Arial"/>
          <w:sz w:val="24"/>
          <w:szCs w:val="24"/>
        </w:rPr>
        <w:t xml:space="preserve"> del Decreto </w:t>
      </w:r>
      <w:r w:rsidR="008C6857" w:rsidRPr="008C6857">
        <w:rPr>
          <w:rFonts w:ascii="Arial" w:hAnsi="Arial" w:cs="Arial"/>
          <w:sz w:val="24"/>
          <w:szCs w:val="24"/>
        </w:rPr>
        <w:t>citado</w:t>
      </w:r>
      <w:r w:rsidR="00052747" w:rsidRPr="008C6857">
        <w:rPr>
          <w:rFonts w:ascii="Arial" w:hAnsi="Arial" w:cs="Arial"/>
          <w:sz w:val="24"/>
          <w:szCs w:val="24"/>
        </w:rPr>
        <w:t>.</w:t>
      </w:r>
    </w:p>
    <w:p w14:paraId="6DFBD27C" w14:textId="0E616F01" w:rsidR="00207DAB" w:rsidRDefault="00B52CAE" w:rsidP="009C7888">
      <w:pPr>
        <w:spacing w:before="240"/>
        <w:ind w:right="49"/>
        <w:jc w:val="both"/>
        <w:rPr>
          <w:rFonts w:ascii="Arial" w:hAnsi="Arial" w:cs="Arial"/>
          <w:sz w:val="24"/>
          <w:szCs w:val="24"/>
        </w:rPr>
      </w:pPr>
      <w:r>
        <w:rPr>
          <w:rFonts w:ascii="Arial" w:hAnsi="Arial" w:cs="Arial"/>
          <w:sz w:val="24"/>
          <w:szCs w:val="24"/>
        </w:rPr>
        <w:lastRenderedPageBreak/>
        <w:t>En ese orden de ideas</w:t>
      </w:r>
      <w:r w:rsidR="008C6857">
        <w:rPr>
          <w:rFonts w:ascii="Arial" w:hAnsi="Arial" w:cs="Arial"/>
          <w:sz w:val="24"/>
          <w:szCs w:val="24"/>
        </w:rPr>
        <w:t xml:space="preserve">, </w:t>
      </w:r>
      <w:r w:rsidR="00675D47">
        <w:rPr>
          <w:rFonts w:ascii="Arial" w:hAnsi="Arial" w:cs="Arial"/>
          <w:sz w:val="24"/>
          <w:szCs w:val="24"/>
        </w:rPr>
        <w:t>enseguida</w:t>
      </w:r>
      <w:r w:rsidR="008C6857">
        <w:rPr>
          <w:rFonts w:ascii="Arial" w:hAnsi="Arial" w:cs="Arial"/>
          <w:sz w:val="24"/>
          <w:szCs w:val="24"/>
        </w:rPr>
        <w:t xml:space="preserve"> reiteramos </w:t>
      </w:r>
      <w:r w:rsidR="00675D47">
        <w:rPr>
          <w:rFonts w:ascii="Arial" w:hAnsi="Arial" w:cs="Arial"/>
          <w:sz w:val="24"/>
          <w:szCs w:val="24"/>
        </w:rPr>
        <w:t>las normas generales reclamadas</w:t>
      </w:r>
      <w:r>
        <w:rPr>
          <w:rFonts w:ascii="Arial" w:hAnsi="Arial" w:cs="Arial"/>
          <w:sz w:val="24"/>
          <w:szCs w:val="24"/>
        </w:rPr>
        <w:t xml:space="preserve"> mencionadas</w:t>
      </w:r>
      <w:r w:rsidR="008C6857">
        <w:rPr>
          <w:rFonts w:ascii="Arial" w:hAnsi="Arial" w:cs="Arial"/>
          <w:sz w:val="24"/>
          <w:szCs w:val="24"/>
        </w:rPr>
        <w:t xml:space="preserve"> pero redactado de otra manera</w:t>
      </w:r>
      <w:r w:rsidR="00CA667E">
        <w:rPr>
          <w:rFonts w:ascii="Arial" w:hAnsi="Arial" w:cs="Arial"/>
          <w:sz w:val="24"/>
          <w:szCs w:val="24"/>
        </w:rPr>
        <w:t>,</w:t>
      </w:r>
      <w:r w:rsidR="008C6857">
        <w:rPr>
          <w:rFonts w:ascii="Arial" w:hAnsi="Arial" w:cs="Arial"/>
          <w:sz w:val="24"/>
          <w:szCs w:val="24"/>
        </w:rPr>
        <w:t xml:space="preserve"> </w:t>
      </w:r>
      <w:r w:rsidR="00207DAB">
        <w:rPr>
          <w:rFonts w:ascii="Arial" w:hAnsi="Arial" w:cs="Arial"/>
          <w:sz w:val="24"/>
          <w:szCs w:val="24"/>
        </w:rPr>
        <w:t>que a través de este amparo reclamamos los siguientes artículos</w:t>
      </w:r>
      <w:r w:rsidR="00882DE7">
        <w:rPr>
          <w:rFonts w:ascii="Arial" w:hAnsi="Arial" w:cs="Arial"/>
          <w:sz w:val="24"/>
          <w:szCs w:val="24"/>
        </w:rPr>
        <w:t xml:space="preserve"> vigentes</w:t>
      </w:r>
      <w:r w:rsidR="00207DAB">
        <w:rPr>
          <w:rFonts w:ascii="Arial" w:hAnsi="Arial" w:cs="Arial"/>
          <w:sz w:val="24"/>
          <w:szCs w:val="24"/>
        </w:rPr>
        <w:t xml:space="preserve"> por su sola entrada en vigor:</w:t>
      </w:r>
    </w:p>
    <w:p w14:paraId="24E9F958" w14:textId="5E34E50A" w:rsidR="00434055" w:rsidRPr="00882DE7" w:rsidRDefault="00434055" w:rsidP="00882DE7">
      <w:pPr>
        <w:pStyle w:val="Prrafodelista"/>
        <w:numPr>
          <w:ilvl w:val="0"/>
          <w:numId w:val="43"/>
        </w:numPr>
        <w:spacing w:before="240"/>
        <w:ind w:right="49"/>
        <w:jc w:val="both"/>
        <w:rPr>
          <w:rFonts w:ascii="Arial" w:hAnsi="Arial" w:cs="Arial"/>
          <w:sz w:val="24"/>
          <w:szCs w:val="24"/>
          <w:shd w:val="clear" w:color="auto" w:fill="FFFFFF"/>
        </w:rPr>
      </w:pPr>
      <w:r w:rsidRPr="00882DE7">
        <w:rPr>
          <w:rFonts w:ascii="Arial" w:hAnsi="Arial" w:cs="Arial"/>
          <w:sz w:val="24"/>
          <w:szCs w:val="24"/>
          <w:shd w:val="clear" w:color="auto" w:fill="FFFFFF"/>
        </w:rPr>
        <w:t xml:space="preserve">El artículo </w:t>
      </w:r>
      <w:r w:rsidRPr="00882DE7">
        <w:rPr>
          <w:rFonts w:ascii="Arial" w:hAnsi="Arial" w:cs="Arial"/>
          <w:b/>
          <w:sz w:val="24"/>
          <w:szCs w:val="24"/>
          <w:shd w:val="clear" w:color="auto" w:fill="FFFFFF"/>
        </w:rPr>
        <w:t>29, fracción IV</w:t>
      </w:r>
      <w:r w:rsidRPr="00882DE7">
        <w:rPr>
          <w:rFonts w:ascii="Arial" w:hAnsi="Arial" w:cs="Arial"/>
          <w:sz w:val="24"/>
          <w:szCs w:val="24"/>
          <w:shd w:val="clear" w:color="auto" w:fill="FFFFFF"/>
        </w:rPr>
        <w:t xml:space="preserve"> de la </w:t>
      </w:r>
      <w:r w:rsidRPr="00882DE7">
        <w:rPr>
          <w:rFonts w:ascii="Arial" w:hAnsi="Arial" w:cs="Arial"/>
          <w:b/>
          <w:sz w:val="24"/>
          <w:szCs w:val="24"/>
          <w:shd w:val="clear" w:color="auto" w:fill="FFFFFF"/>
        </w:rPr>
        <w:t>Ley Orgánica de la Administración Pública Federal</w:t>
      </w:r>
      <w:r w:rsidRPr="00882DE7">
        <w:rPr>
          <w:rFonts w:ascii="Arial" w:hAnsi="Arial" w:cs="Arial"/>
          <w:sz w:val="24"/>
          <w:szCs w:val="24"/>
          <w:shd w:val="clear" w:color="auto" w:fill="FFFFFF"/>
        </w:rPr>
        <w:t xml:space="preserve">, que se añadió a dicha ley a través del decreto de reforma publicado en el Diario Oficial de la Federación el nueve de septiembre de dos mil veintidós. </w:t>
      </w:r>
    </w:p>
    <w:p w14:paraId="73B9AAFA" w14:textId="5732807B" w:rsidR="00207DAB" w:rsidRPr="00882DE7" w:rsidRDefault="004F5E5F" w:rsidP="00882DE7">
      <w:pPr>
        <w:pStyle w:val="Prrafodelista"/>
        <w:numPr>
          <w:ilvl w:val="0"/>
          <w:numId w:val="43"/>
        </w:numPr>
        <w:spacing w:before="240"/>
        <w:ind w:right="49"/>
        <w:jc w:val="both"/>
        <w:rPr>
          <w:rFonts w:ascii="Arial" w:hAnsi="Arial" w:cs="Arial"/>
          <w:sz w:val="24"/>
          <w:szCs w:val="24"/>
          <w:shd w:val="clear" w:color="auto" w:fill="FFFFFF"/>
        </w:rPr>
      </w:pPr>
      <w:r w:rsidRPr="00882DE7">
        <w:rPr>
          <w:rFonts w:ascii="Arial" w:hAnsi="Arial" w:cs="Arial"/>
          <w:sz w:val="24"/>
          <w:szCs w:val="24"/>
          <w:shd w:val="clear" w:color="auto" w:fill="FFFFFF"/>
        </w:rPr>
        <w:t xml:space="preserve">Los artículos </w:t>
      </w:r>
      <w:r w:rsidRPr="00882DE7">
        <w:rPr>
          <w:rFonts w:ascii="Arial" w:hAnsi="Arial" w:cs="Arial"/>
          <w:b/>
          <w:sz w:val="24"/>
          <w:szCs w:val="24"/>
          <w:shd w:val="clear" w:color="auto" w:fill="FFFFFF"/>
        </w:rPr>
        <w:t>7, fracción VII, 12, fracción I, 13 Bis, fracciones I, II, III, V y VI, 14, primer párrafo, 15, fracción II, VII y VIII, 32 Bis, 39 y 86 fracción III</w:t>
      </w:r>
      <w:r w:rsidRPr="00882DE7">
        <w:rPr>
          <w:rFonts w:ascii="Arial" w:hAnsi="Arial" w:cs="Arial"/>
          <w:sz w:val="24"/>
          <w:szCs w:val="24"/>
          <w:shd w:val="clear" w:color="auto" w:fill="FFFFFF"/>
        </w:rPr>
        <w:t xml:space="preserve">, de la </w:t>
      </w:r>
      <w:r w:rsidRPr="00882DE7">
        <w:rPr>
          <w:rFonts w:ascii="Arial" w:hAnsi="Arial" w:cs="Arial"/>
          <w:b/>
          <w:sz w:val="24"/>
          <w:szCs w:val="24"/>
          <w:shd w:val="clear" w:color="auto" w:fill="FFFFFF"/>
        </w:rPr>
        <w:t>Ley de la Guardia Nacional</w:t>
      </w:r>
      <w:r w:rsidRPr="00882DE7">
        <w:rPr>
          <w:rFonts w:ascii="Arial" w:hAnsi="Arial" w:cs="Arial"/>
          <w:sz w:val="24"/>
          <w:szCs w:val="24"/>
          <w:shd w:val="clear" w:color="auto" w:fill="FFFFFF"/>
        </w:rPr>
        <w:t xml:space="preserve">, </w:t>
      </w:r>
      <w:r w:rsidR="00CA667E">
        <w:rPr>
          <w:rFonts w:ascii="Arial" w:hAnsi="Arial" w:cs="Arial"/>
          <w:sz w:val="24"/>
          <w:szCs w:val="24"/>
          <w:shd w:val="clear" w:color="auto" w:fill="FFFFFF"/>
        </w:rPr>
        <w:t>que se añadieron</w:t>
      </w:r>
      <w:r w:rsidRPr="00882DE7">
        <w:rPr>
          <w:rFonts w:ascii="Arial" w:hAnsi="Arial" w:cs="Arial"/>
          <w:sz w:val="24"/>
          <w:szCs w:val="24"/>
          <w:shd w:val="clear" w:color="auto" w:fill="FFFFFF"/>
        </w:rPr>
        <w:t xml:space="preserve"> a dicha ley a través del decreto de reforma publicado en el Diario Oficial de la Federación el nueve de septiembre de dos mil veintidós.</w:t>
      </w:r>
    </w:p>
    <w:p w14:paraId="322BBD9E" w14:textId="5AA4DF38" w:rsidR="00A41088" w:rsidRPr="00882DE7" w:rsidRDefault="00A41088" w:rsidP="00882DE7">
      <w:pPr>
        <w:pStyle w:val="Prrafodelista"/>
        <w:numPr>
          <w:ilvl w:val="0"/>
          <w:numId w:val="43"/>
        </w:numPr>
        <w:spacing w:before="240"/>
        <w:ind w:right="49"/>
        <w:jc w:val="both"/>
        <w:rPr>
          <w:rFonts w:ascii="Arial" w:hAnsi="Arial" w:cs="Arial"/>
          <w:sz w:val="24"/>
          <w:szCs w:val="24"/>
          <w:shd w:val="clear" w:color="auto" w:fill="FFFFFF"/>
        </w:rPr>
      </w:pPr>
      <w:r w:rsidRPr="00882DE7">
        <w:rPr>
          <w:rFonts w:ascii="Arial" w:hAnsi="Arial" w:cs="Arial"/>
          <w:sz w:val="24"/>
          <w:szCs w:val="24"/>
          <w:shd w:val="clear" w:color="auto" w:fill="FFFFFF"/>
        </w:rPr>
        <w:t xml:space="preserve">Los artículos </w:t>
      </w:r>
      <w:r w:rsidRPr="00882DE7">
        <w:rPr>
          <w:rFonts w:ascii="Arial" w:hAnsi="Arial" w:cs="Arial"/>
          <w:b/>
          <w:sz w:val="24"/>
          <w:szCs w:val="24"/>
          <w:shd w:val="clear" w:color="auto" w:fill="FFFFFF"/>
        </w:rPr>
        <w:t>2/o Bis, 138, fracción VII</w:t>
      </w:r>
      <w:r w:rsidRPr="00882DE7">
        <w:rPr>
          <w:rFonts w:ascii="Arial" w:hAnsi="Arial" w:cs="Arial"/>
          <w:sz w:val="24"/>
          <w:szCs w:val="24"/>
          <w:shd w:val="clear" w:color="auto" w:fill="FFFFFF"/>
        </w:rPr>
        <w:t>, de la Ley Orgánica del Ejército y Fuerza Aérea Mexicanos, que se a</w:t>
      </w:r>
      <w:r w:rsidR="00CA667E">
        <w:rPr>
          <w:rFonts w:ascii="Arial" w:hAnsi="Arial" w:cs="Arial"/>
          <w:sz w:val="24"/>
          <w:szCs w:val="24"/>
          <w:shd w:val="clear" w:color="auto" w:fill="FFFFFF"/>
        </w:rPr>
        <w:t>dhirieron</w:t>
      </w:r>
      <w:r w:rsidRPr="00882DE7">
        <w:rPr>
          <w:rFonts w:ascii="Arial" w:hAnsi="Arial" w:cs="Arial"/>
          <w:sz w:val="24"/>
          <w:szCs w:val="24"/>
          <w:shd w:val="clear" w:color="auto" w:fill="FFFFFF"/>
        </w:rPr>
        <w:t xml:space="preserve"> a dicha ley a través del decreto de reforma publicado en el Diario Oficial de la Federación el nueve de septiembre de dos mil veintidós.</w:t>
      </w:r>
    </w:p>
    <w:p w14:paraId="05EDDC0A" w14:textId="15DF2EC7" w:rsidR="00A41088" w:rsidRDefault="00A41088" w:rsidP="00882DE7">
      <w:pPr>
        <w:pStyle w:val="Prrafodelista"/>
        <w:numPr>
          <w:ilvl w:val="0"/>
          <w:numId w:val="43"/>
        </w:numPr>
        <w:spacing w:before="240"/>
        <w:ind w:right="49"/>
        <w:jc w:val="both"/>
        <w:rPr>
          <w:rFonts w:ascii="Arial" w:hAnsi="Arial" w:cs="Arial"/>
          <w:sz w:val="24"/>
          <w:szCs w:val="24"/>
          <w:shd w:val="clear" w:color="auto" w:fill="FFFFFF"/>
        </w:rPr>
      </w:pPr>
      <w:r w:rsidRPr="00882DE7">
        <w:rPr>
          <w:rFonts w:ascii="Arial" w:hAnsi="Arial" w:cs="Arial"/>
          <w:sz w:val="24"/>
          <w:szCs w:val="24"/>
        </w:rPr>
        <w:t>Los artículos</w:t>
      </w:r>
      <w:r w:rsidRPr="00882DE7">
        <w:rPr>
          <w:rFonts w:ascii="Arial" w:hAnsi="Arial" w:cs="Arial"/>
          <w:b/>
          <w:sz w:val="24"/>
          <w:szCs w:val="24"/>
        </w:rPr>
        <w:t xml:space="preserve"> </w:t>
      </w:r>
      <w:r w:rsidR="002046DE">
        <w:rPr>
          <w:rFonts w:ascii="Arial" w:hAnsi="Arial" w:cs="Arial"/>
          <w:b/>
          <w:sz w:val="24"/>
          <w:szCs w:val="24"/>
        </w:rPr>
        <w:t xml:space="preserve">Segundo, </w:t>
      </w:r>
      <w:r w:rsidR="002046DE" w:rsidRPr="008C6857">
        <w:rPr>
          <w:rFonts w:ascii="Arial" w:hAnsi="Arial" w:cs="Arial"/>
          <w:b/>
          <w:sz w:val="24"/>
          <w:szCs w:val="24"/>
        </w:rPr>
        <w:t>Tercero, Quinto, Sexto</w:t>
      </w:r>
      <w:r w:rsidR="002046DE">
        <w:rPr>
          <w:rFonts w:ascii="Arial" w:hAnsi="Arial" w:cs="Arial"/>
          <w:b/>
          <w:sz w:val="24"/>
          <w:szCs w:val="24"/>
        </w:rPr>
        <w:t>, Séptimo, Octavo</w:t>
      </w:r>
      <w:r w:rsidR="002046DE" w:rsidRPr="00346E4D">
        <w:rPr>
          <w:rFonts w:ascii="Arial" w:hAnsi="Arial" w:cs="Arial"/>
          <w:sz w:val="24"/>
          <w:szCs w:val="24"/>
        </w:rPr>
        <w:t xml:space="preserve"> y</w:t>
      </w:r>
      <w:r w:rsidR="002046DE" w:rsidRPr="008C6857">
        <w:rPr>
          <w:rFonts w:ascii="Arial" w:hAnsi="Arial" w:cs="Arial"/>
          <w:b/>
          <w:sz w:val="24"/>
          <w:szCs w:val="24"/>
        </w:rPr>
        <w:t xml:space="preserve"> Noveno Transitorios</w:t>
      </w:r>
      <w:r w:rsidR="002046DE" w:rsidRPr="008C6857">
        <w:rPr>
          <w:rFonts w:ascii="Arial" w:hAnsi="Arial" w:cs="Arial"/>
          <w:sz w:val="24"/>
          <w:szCs w:val="24"/>
        </w:rPr>
        <w:t xml:space="preserve"> del Decreto citado</w:t>
      </w:r>
      <w:r w:rsidR="002046DE" w:rsidRPr="00882DE7">
        <w:rPr>
          <w:rFonts w:ascii="Arial" w:hAnsi="Arial" w:cs="Arial"/>
          <w:b/>
          <w:sz w:val="24"/>
          <w:szCs w:val="24"/>
        </w:rPr>
        <w:t xml:space="preserve"> </w:t>
      </w:r>
      <w:r w:rsidRPr="00882DE7">
        <w:rPr>
          <w:rFonts w:ascii="Arial" w:hAnsi="Arial" w:cs="Arial"/>
          <w:b/>
          <w:sz w:val="24"/>
          <w:szCs w:val="24"/>
        </w:rPr>
        <w:t xml:space="preserve">Transitorios </w:t>
      </w:r>
      <w:r w:rsidRPr="00882DE7">
        <w:rPr>
          <w:rFonts w:ascii="Arial" w:hAnsi="Arial" w:cs="Arial"/>
          <w:sz w:val="24"/>
          <w:szCs w:val="24"/>
          <w:shd w:val="clear" w:color="auto" w:fill="FFFFFF"/>
        </w:rPr>
        <w:t>del decreto de reforma publicado en el Diario Oficial de la Federación el nueve de septiembre de dos mil veintidós.</w:t>
      </w:r>
    </w:p>
    <w:p w14:paraId="0E67A94A" w14:textId="149796A2" w:rsidR="00FE6E20" w:rsidRDefault="00B52CAE" w:rsidP="00FE6E20">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Finalmente, en este capítulo precisamos que:</w:t>
      </w:r>
    </w:p>
    <w:p w14:paraId="1EB4A63A" w14:textId="38D11D3A" w:rsidR="00FE6E20" w:rsidRDefault="00FE6E20" w:rsidP="00FE6E20">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 xml:space="preserve">La aprobación y contenido de las normas anteriores las reclamo a la Cámara de </w:t>
      </w:r>
      <w:r w:rsidR="007321B3">
        <w:rPr>
          <w:rFonts w:ascii="Arial" w:hAnsi="Arial" w:cs="Arial"/>
          <w:sz w:val="24"/>
          <w:szCs w:val="24"/>
          <w:shd w:val="clear" w:color="auto" w:fill="FFFFFF"/>
        </w:rPr>
        <w:t xml:space="preserve">Diputados y a la Cámara de </w:t>
      </w:r>
      <w:r>
        <w:rPr>
          <w:rFonts w:ascii="Arial" w:hAnsi="Arial" w:cs="Arial"/>
          <w:sz w:val="24"/>
          <w:szCs w:val="24"/>
          <w:shd w:val="clear" w:color="auto" w:fill="FFFFFF"/>
        </w:rPr>
        <w:t xml:space="preserve">Senadores. </w:t>
      </w:r>
    </w:p>
    <w:p w14:paraId="485A09A7" w14:textId="1D17F254" w:rsidR="00FE6E20" w:rsidRDefault="00FE6E20" w:rsidP="00FE6E20">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La promulgación, expedición</w:t>
      </w:r>
      <w:r w:rsidR="00494EB9">
        <w:rPr>
          <w:rFonts w:ascii="Arial" w:hAnsi="Arial" w:cs="Arial"/>
          <w:sz w:val="24"/>
          <w:szCs w:val="24"/>
          <w:shd w:val="clear" w:color="auto" w:fill="FFFFFF"/>
        </w:rPr>
        <w:t xml:space="preserve"> y contenido de las normas anteriores las</w:t>
      </w:r>
      <w:r w:rsidR="00E64FA2">
        <w:rPr>
          <w:rFonts w:ascii="Arial" w:hAnsi="Arial" w:cs="Arial"/>
          <w:sz w:val="24"/>
          <w:szCs w:val="24"/>
          <w:shd w:val="clear" w:color="auto" w:fill="FFFFFF"/>
        </w:rPr>
        <w:t xml:space="preserve"> reclamo al </w:t>
      </w:r>
      <w:r w:rsidR="00DE5BF9">
        <w:rPr>
          <w:rFonts w:ascii="Arial" w:hAnsi="Arial" w:cs="Arial"/>
          <w:sz w:val="24"/>
          <w:szCs w:val="24"/>
          <w:shd w:val="clear" w:color="auto" w:fill="FFFFFF"/>
        </w:rPr>
        <w:t xml:space="preserve">Presidente de los Estados Unidos </w:t>
      </w:r>
      <w:proofErr w:type="gramStart"/>
      <w:r w:rsidR="00B52CAE">
        <w:rPr>
          <w:rFonts w:ascii="Arial" w:hAnsi="Arial" w:cs="Arial"/>
          <w:sz w:val="24"/>
          <w:szCs w:val="24"/>
          <w:shd w:val="clear" w:color="auto" w:fill="FFFFFF"/>
        </w:rPr>
        <w:t>Mexicanos</w:t>
      </w:r>
      <w:proofErr w:type="gramEnd"/>
      <w:r w:rsidR="00494EB9">
        <w:rPr>
          <w:rFonts w:ascii="Arial" w:hAnsi="Arial" w:cs="Arial"/>
          <w:sz w:val="24"/>
          <w:szCs w:val="24"/>
          <w:shd w:val="clear" w:color="auto" w:fill="FFFFFF"/>
        </w:rPr>
        <w:t>.</w:t>
      </w:r>
    </w:p>
    <w:p w14:paraId="55545102" w14:textId="29BE351E" w:rsidR="00FE6E20" w:rsidRDefault="008D5FA4" w:rsidP="00FE6E20">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L</w:t>
      </w:r>
      <w:r w:rsidR="0082510D">
        <w:rPr>
          <w:rFonts w:ascii="Arial" w:hAnsi="Arial" w:cs="Arial"/>
          <w:sz w:val="24"/>
          <w:szCs w:val="24"/>
          <w:shd w:val="clear" w:color="auto" w:fill="FFFFFF"/>
        </w:rPr>
        <w:t xml:space="preserve">as consecuencias de las normas </w:t>
      </w:r>
      <w:r w:rsidR="00B52CAE">
        <w:rPr>
          <w:rFonts w:ascii="Arial" w:hAnsi="Arial" w:cs="Arial"/>
          <w:sz w:val="24"/>
          <w:szCs w:val="24"/>
          <w:shd w:val="clear" w:color="auto" w:fill="FFFFFF"/>
        </w:rPr>
        <w:t>reclamadas se las atribuimos y reclamamos</w:t>
      </w:r>
      <w:r w:rsidR="0082510D">
        <w:rPr>
          <w:rFonts w:ascii="Arial" w:hAnsi="Arial" w:cs="Arial"/>
          <w:sz w:val="24"/>
          <w:szCs w:val="24"/>
          <w:shd w:val="clear" w:color="auto" w:fill="FFFFFF"/>
        </w:rPr>
        <w:t xml:space="preserve"> al Secretario de Seguridad</w:t>
      </w:r>
      <w:r>
        <w:rPr>
          <w:rFonts w:ascii="Arial" w:hAnsi="Arial" w:cs="Arial"/>
          <w:sz w:val="24"/>
          <w:szCs w:val="24"/>
          <w:shd w:val="clear" w:color="auto" w:fill="FFFFFF"/>
        </w:rPr>
        <w:t xml:space="preserve"> y Protección</w:t>
      </w:r>
      <w:r w:rsidR="00B52CAE">
        <w:rPr>
          <w:rFonts w:ascii="Arial" w:hAnsi="Arial" w:cs="Arial"/>
          <w:sz w:val="24"/>
          <w:szCs w:val="24"/>
          <w:shd w:val="clear" w:color="auto" w:fill="FFFFFF"/>
        </w:rPr>
        <w:t xml:space="preserve"> Ciudadana, </w:t>
      </w:r>
      <w:r w:rsidR="0082510D">
        <w:rPr>
          <w:rFonts w:ascii="Arial" w:hAnsi="Arial" w:cs="Arial"/>
          <w:sz w:val="24"/>
          <w:szCs w:val="24"/>
          <w:shd w:val="clear" w:color="auto" w:fill="FFFFFF"/>
        </w:rPr>
        <w:t>al Sec</w:t>
      </w:r>
      <w:r w:rsidR="00B52CAE">
        <w:rPr>
          <w:rFonts w:ascii="Arial" w:hAnsi="Arial" w:cs="Arial"/>
          <w:sz w:val="24"/>
          <w:szCs w:val="24"/>
          <w:shd w:val="clear" w:color="auto" w:fill="FFFFFF"/>
        </w:rPr>
        <w:t>r</w:t>
      </w:r>
      <w:r w:rsidR="004C1D63">
        <w:rPr>
          <w:rFonts w:ascii="Arial" w:hAnsi="Arial" w:cs="Arial"/>
          <w:sz w:val="24"/>
          <w:szCs w:val="24"/>
          <w:shd w:val="clear" w:color="auto" w:fill="FFFFFF"/>
        </w:rPr>
        <w:t xml:space="preserve">etario de la Defensa Nacional, al Secretario de Marina y </w:t>
      </w:r>
      <w:r w:rsidR="00B52CAE">
        <w:rPr>
          <w:rFonts w:ascii="Arial" w:hAnsi="Arial" w:cs="Arial"/>
          <w:sz w:val="24"/>
          <w:szCs w:val="24"/>
          <w:shd w:val="clear" w:color="auto" w:fill="FFFFFF"/>
        </w:rPr>
        <w:t xml:space="preserve">al Secretario de Hacienda y Crédito Público, para que </w:t>
      </w:r>
      <w:r w:rsidR="004C1D63">
        <w:rPr>
          <w:rFonts w:ascii="Arial" w:hAnsi="Arial" w:cs="Arial"/>
          <w:sz w:val="24"/>
          <w:szCs w:val="24"/>
          <w:shd w:val="clear" w:color="auto" w:fill="FFFFFF"/>
        </w:rPr>
        <w:t>sean vinculadas</w:t>
      </w:r>
      <w:r w:rsidR="0082510D">
        <w:rPr>
          <w:rFonts w:ascii="Arial" w:hAnsi="Arial" w:cs="Arial"/>
          <w:sz w:val="24"/>
          <w:szCs w:val="24"/>
          <w:shd w:val="clear" w:color="auto" w:fill="FFFFFF"/>
        </w:rPr>
        <w:t xml:space="preserve"> </w:t>
      </w:r>
      <w:r>
        <w:rPr>
          <w:rFonts w:ascii="Arial" w:hAnsi="Arial" w:cs="Arial"/>
          <w:sz w:val="24"/>
          <w:szCs w:val="24"/>
          <w:shd w:val="clear" w:color="auto" w:fill="FFFFFF"/>
        </w:rPr>
        <w:t>al cumplimiento de la suspensión y de la sentencia que se concedan</w:t>
      </w:r>
      <w:r w:rsidR="0082510D">
        <w:rPr>
          <w:rFonts w:ascii="Arial" w:hAnsi="Arial" w:cs="Arial"/>
          <w:sz w:val="24"/>
          <w:szCs w:val="24"/>
          <w:shd w:val="clear" w:color="auto" w:fill="FFFFFF"/>
        </w:rPr>
        <w:t>.</w:t>
      </w:r>
    </w:p>
    <w:p w14:paraId="67652181" w14:textId="39729F30" w:rsidR="002A06EC" w:rsidRPr="00EF2874" w:rsidRDefault="002A06EC" w:rsidP="003C39B4">
      <w:pPr>
        <w:pStyle w:val="Sangradetextonormal"/>
        <w:spacing w:line="276" w:lineRule="auto"/>
        <w:rPr>
          <w:rFonts w:ascii="Arial" w:hAnsi="Arial" w:cs="Arial"/>
          <w:sz w:val="24"/>
        </w:rPr>
      </w:pPr>
      <w:r w:rsidRPr="00EF2874">
        <w:rPr>
          <w:rFonts w:ascii="Arial" w:hAnsi="Arial" w:cs="Arial"/>
          <w:b/>
          <w:bCs/>
          <w:sz w:val="24"/>
        </w:rPr>
        <w:t xml:space="preserve">V.- </w:t>
      </w:r>
      <w:r w:rsidR="00B1114A">
        <w:rPr>
          <w:rFonts w:ascii="Arial" w:hAnsi="Arial" w:cs="Arial"/>
          <w:b/>
          <w:bCs/>
          <w:sz w:val="24"/>
        </w:rPr>
        <w:t>ANTECEDENTES.</w:t>
      </w:r>
      <w:r w:rsidRPr="00EF2874">
        <w:rPr>
          <w:rFonts w:ascii="Arial" w:hAnsi="Arial" w:cs="Arial"/>
          <w:b/>
          <w:bCs/>
          <w:sz w:val="24"/>
        </w:rPr>
        <w:t xml:space="preserve"> </w:t>
      </w:r>
      <w:r w:rsidRPr="001A03A0">
        <w:rPr>
          <w:rFonts w:ascii="Arial" w:hAnsi="Arial" w:cs="Arial"/>
          <w:sz w:val="24"/>
          <w:u w:val="single"/>
        </w:rPr>
        <w:t>Bajo protesta de decir verdad</w:t>
      </w:r>
      <w:r w:rsidRPr="00EF2874">
        <w:rPr>
          <w:rFonts w:ascii="Arial" w:hAnsi="Arial" w:cs="Arial"/>
          <w:sz w:val="24"/>
        </w:rPr>
        <w:t xml:space="preserve"> narr</w:t>
      </w:r>
      <w:r w:rsidR="0056017C" w:rsidRPr="00EF2874">
        <w:rPr>
          <w:rFonts w:ascii="Arial" w:hAnsi="Arial" w:cs="Arial"/>
          <w:sz w:val="24"/>
        </w:rPr>
        <w:t>o</w:t>
      </w:r>
      <w:r w:rsidRPr="00EF2874">
        <w:rPr>
          <w:rFonts w:ascii="Arial" w:hAnsi="Arial" w:cs="Arial"/>
          <w:sz w:val="24"/>
        </w:rPr>
        <w:t xml:space="preserve"> los hechos y abstenciones que constituyen antecedentes </w:t>
      </w:r>
      <w:r w:rsidR="003335D6" w:rsidRPr="00EF2874">
        <w:rPr>
          <w:rFonts w:ascii="Arial" w:hAnsi="Arial" w:cs="Arial"/>
          <w:sz w:val="24"/>
        </w:rPr>
        <w:t>de</w:t>
      </w:r>
      <w:r w:rsidR="00212252">
        <w:rPr>
          <w:rFonts w:ascii="Arial" w:hAnsi="Arial" w:cs="Arial"/>
          <w:sz w:val="24"/>
        </w:rPr>
        <w:t xml:space="preserve"> </w:t>
      </w:r>
      <w:r w:rsidR="003335D6" w:rsidRPr="00EF2874">
        <w:rPr>
          <w:rFonts w:ascii="Arial" w:hAnsi="Arial" w:cs="Arial"/>
          <w:sz w:val="24"/>
        </w:rPr>
        <w:t>l</w:t>
      </w:r>
      <w:r w:rsidR="00212252">
        <w:rPr>
          <w:rFonts w:ascii="Arial" w:hAnsi="Arial" w:cs="Arial"/>
          <w:sz w:val="24"/>
        </w:rPr>
        <w:t>os</w:t>
      </w:r>
      <w:r w:rsidR="003335D6" w:rsidRPr="00EF2874">
        <w:rPr>
          <w:rFonts w:ascii="Arial" w:hAnsi="Arial" w:cs="Arial"/>
          <w:sz w:val="24"/>
        </w:rPr>
        <w:t xml:space="preserve"> acto</w:t>
      </w:r>
      <w:r w:rsidR="00212252">
        <w:rPr>
          <w:rFonts w:ascii="Arial" w:hAnsi="Arial" w:cs="Arial"/>
          <w:sz w:val="24"/>
        </w:rPr>
        <w:t>s</w:t>
      </w:r>
      <w:r w:rsidR="003335D6" w:rsidRPr="00EF2874">
        <w:rPr>
          <w:rFonts w:ascii="Arial" w:hAnsi="Arial" w:cs="Arial"/>
          <w:sz w:val="24"/>
        </w:rPr>
        <w:t xml:space="preserve"> reclamado</w:t>
      </w:r>
      <w:r w:rsidR="00212252">
        <w:rPr>
          <w:rFonts w:ascii="Arial" w:hAnsi="Arial" w:cs="Arial"/>
          <w:sz w:val="24"/>
        </w:rPr>
        <w:t>s</w:t>
      </w:r>
      <w:r w:rsidR="003335D6" w:rsidRPr="00EF2874">
        <w:rPr>
          <w:rFonts w:ascii="Arial" w:hAnsi="Arial" w:cs="Arial"/>
          <w:sz w:val="24"/>
        </w:rPr>
        <w:t xml:space="preserve"> y sirven de fundamento </w:t>
      </w:r>
      <w:r w:rsidR="00717CCC" w:rsidRPr="00EF2874">
        <w:rPr>
          <w:rFonts w:ascii="Arial" w:hAnsi="Arial" w:cs="Arial"/>
          <w:sz w:val="24"/>
        </w:rPr>
        <w:t>a los</w:t>
      </w:r>
      <w:r w:rsidR="003335D6" w:rsidRPr="00EF2874">
        <w:rPr>
          <w:rFonts w:ascii="Arial" w:hAnsi="Arial" w:cs="Arial"/>
          <w:sz w:val="24"/>
        </w:rPr>
        <w:t xml:space="preserve"> conceptos de violación:</w:t>
      </w:r>
    </w:p>
    <w:p w14:paraId="2DC32EDA" w14:textId="77777777" w:rsidR="002A06EC" w:rsidRPr="00EF2874" w:rsidRDefault="002A06EC" w:rsidP="003C39B4">
      <w:pPr>
        <w:pStyle w:val="Sangradetextonormal"/>
        <w:spacing w:line="276" w:lineRule="auto"/>
        <w:rPr>
          <w:rFonts w:ascii="Arial" w:hAnsi="Arial" w:cs="Arial"/>
          <w:sz w:val="24"/>
          <w:highlight w:val="yellow"/>
        </w:rPr>
      </w:pPr>
    </w:p>
    <w:p w14:paraId="010907F3" w14:textId="1032FE13" w:rsidR="00240B4D" w:rsidRPr="00EA6724" w:rsidRDefault="00D50F7A" w:rsidP="00C36A92">
      <w:pPr>
        <w:pStyle w:val="Sangradetextonormal"/>
        <w:spacing w:line="276" w:lineRule="auto"/>
        <w:rPr>
          <w:rFonts w:ascii="Arial" w:hAnsi="Arial" w:cs="Arial"/>
          <w:sz w:val="24"/>
        </w:rPr>
      </w:pPr>
      <w:r w:rsidRPr="00EA6724">
        <w:rPr>
          <w:rFonts w:ascii="Arial" w:hAnsi="Arial" w:cs="Arial"/>
          <w:b/>
          <w:sz w:val="24"/>
        </w:rPr>
        <w:t>1</w:t>
      </w:r>
      <w:r w:rsidR="00240B4D" w:rsidRPr="00EA6724">
        <w:rPr>
          <w:rFonts w:ascii="Arial" w:hAnsi="Arial" w:cs="Arial"/>
          <w:sz w:val="24"/>
        </w:rPr>
        <w:t>.</w:t>
      </w:r>
      <w:r w:rsidR="00222844">
        <w:rPr>
          <w:rFonts w:ascii="Arial" w:hAnsi="Arial" w:cs="Arial"/>
          <w:sz w:val="24"/>
        </w:rPr>
        <w:t xml:space="preserve"> Antes de comenzar a narrar lo inherente a la norma general reclamada, queremos </w:t>
      </w:r>
      <w:r w:rsidR="00FF45AC">
        <w:rPr>
          <w:rFonts w:ascii="Arial" w:hAnsi="Arial" w:cs="Arial"/>
          <w:sz w:val="24"/>
        </w:rPr>
        <w:t>mencionar</w:t>
      </w:r>
      <w:r w:rsidR="00D01BFB">
        <w:rPr>
          <w:rFonts w:ascii="Arial" w:hAnsi="Arial" w:cs="Arial"/>
          <w:sz w:val="24"/>
        </w:rPr>
        <w:t xml:space="preserve"> que</w:t>
      </w:r>
      <w:r w:rsidR="00222844">
        <w:rPr>
          <w:rFonts w:ascii="Arial" w:hAnsi="Arial" w:cs="Arial"/>
          <w:sz w:val="24"/>
        </w:rPr>
        <w:t xml:space="preserve"> el 17 de marzo de 2022</w:t>
      </w:r>
      <w:r w:rsidR="00FF45AC">
        <w:rPr>
          <w:rFonts w:ascii="Arial" w:hAnsi="Arial" w:cs="Arial"/>
          <w:sz w:val="24"/>
        </w:rPr>
        <w:t xml:space="preserve"> y el 4 de mayo de 2022, respectivamente,</w:t>
      </w:r>
      <w:r w:rsidR="00240B4D" w:rsidRPr="00EA6724">
        <w:rPr>
          <w:rFonts w:ascii="Arial" w:hAnsi="Arial" w:cs="Arial"/>
          <w:sz w:val="24"/>
        </w:rPr>
        <w:t xml:space="preserve"> </w:t>
      </w:r>
      <w:r w:rsidR="00FF45AC">
        <w:rPr>
          <w:rFonts w:ascii="Arial" w:hAnsi="Arial" w:cs="Arial"/>
          <w:sz w:val="24"/>
        </w:rPr>
        <w:t xml:space="preserve">se dictaron </w:t>
      </w:r>
      <w:r w:rsidR="00EA6724" w:rsidRPr="00EA6724">
        <w:rPr>
          <w:rFonts w:ascii="Arial" w:hAnsi="Arial" w:cs="Arial"/>
          <w:sz w:val="24"/>
        </w:rPr>
        <w:t>las sentencias que resolvieron los Amparos en Revisión 123/202</w:t>
      </w:r>
      <w:r w:rsidR="00FF45AC">
        <w:rPr>
          <w:rFonts w:ascii="Arial" w:hAnsi="Arial" w:cs="Arial"/>
          <w:sz w:val="24"/>
        </w:rPr>
        <w:t>1</w:t>
      </w:r>
      <w:r w:rsidR="00EA6724" w:rsidRPr="00EA6724">
        <w:rPr>
          <w:rFonts w:ascii="Arial" w:hAnsi="Arial" w:cs="Arial"/>
          <w:sz w:val="24"/>
        </w:rPr>
        <w:t>, 181/202</w:t>
      </w:r>
      <w:r w:rsidR="00FF45AC">
        <w:rPr>
          <w:rFonts w:ascii="Arial" w:hAnsi="Arial" w:cs="Arial"/>
          <w:sz w:val="24"/>
        </w:rPr>
        <w:t>1 y 191/2021</w:t>
      </w:r>
      <w:r w:rsidR="00EA6724" w:rsidRPr="00EA6724">
        <w:rPr>
          <w:rFonts w:ascii="Arial" w:hAnsi="Arial" w:cs="Arial"/>
          <w:sz w:val="24"/>
        </w:rPr>
        <w:t xml:space="preserve">, del índice del Primer Tribunal Colegiado en Materias Administrativa y de Trabajo del Décimo Primer Circuito, </w:t>
      </w:r>
      <w:r w:rsidR="00FF45AC">
        <w:rPr>
          <w:rFonts w:ascii="Arial" w:hAnsi="Arial" w:cs="Arial"/>
          <w:sz w:val="24"/>
        </w:rPr>
        <w:t xml:space="preserve">mediante las cuales se confirmó la concesión del Amparo y Protección de la Justicia Federal a </w:t>
      </w:r>
      <w:r w:rsidR="001B630D">
        <w:rPr>
          <w:rFonts w:ascii="Arial" w:hAnsi="Arial" w:cs="Arial"/>
          <w:sz w:val="24"/>
        </w:rPr>
        <w:t xml:space="preserve">los quejosos quienes </w:t>
      </w:r>
      <w:r w:rsidR="000356F3">
        <w:rPr>
          <w:rFonts w:ascii="Arial" w:hAnsi="Arial" w:cs="Arial"/>
          <w:sz w:val="24"/>
        </w:rPr>
        <w:t>son nuestros</w:t>
      </w:r>
      <w:r w:rsidR="00FF45AC">
        <w:rPr>
          <w:rFonts w:ascii="Arial" w:hAnsi="Arial" w:cs="Arial"/>
          <w:sz w:val="24"/>
        </w:rPr>
        <w:t xml:space="preserve"> compañeros integrantes del Frente Nacional Ciudadano, contra </w:t>
      </w:r>
      <w:r w:rsidR="00FF45AC" w:rsidRPr="00FF45AC">
        <w:rPr>
          <w:rFonts w:ascii="Arial" w:hAnsi="Arial" w:cs="Arial"/>
          <w:i/>
          <w:sz w:val="24"/>
        </w:rPr>
        <w:t>el ACUERDO por el que se dispone de la Fuerza Armada permanente para llevar a cabo tareas de seguridad pública de manera extraordinaria, regulada, fiscalizada, subordinada y complementaria, publicado el once de mayo de dos mil veinte en el diario Oficial de la Federación</w:t>
      </w:r>
      <w:r w:rsidR="00FF45AC">
        <w:rPr>
          <w:rFonts w:ascii="Arial" w:hAnsi="Arial" w:cs="Arial"/>
          <w:sz w:val="24"/>
        </w:rPr>
        <w:t xml:space="preserve">,  </w:t>
      </w:r>
      <w:r w:rsidR="00195908">
        <w:rPr>
          <w:rFonts w:ascii="Arial" w:hAnsi="Arial" w:cs="Arial"/>
          <w:sz w:val="24"/>
        </w:rPr>
        <w:t>en la</w:t>
      </w:r>
      <w:r w:rsidR="00EA6724" w:rsidRPr="00EA6724">
        <w:rPr>
          <w:rFonts w:ascii="Arial" w:hAnsi="Arial" w:cs="Arial"/>
          <w:sz w:val="24"/>
        </w:rPr>
        <w:t>s cuales se</w:t>
      </w:r>
      <w:r w:rsidR="00195908">
        <w:rPr>
          <w:rFonts w:ascii="Arial" w:hAnsi="Arial" w:cs="Arial"/>
          <w:sz w:val="24"/>
        </w:rPr>
        <w:t xml:space="preserve"> declaró la inconstitucionalidad de la norma reclamada y además se</w:t>
      </w:r>
      <w:r w:rsidR="00EA6724" w:rsidRPr="00EA6724">
        <w:rPr>
          <w:rFonts w:ascii="Arial" w:hAnsi="Arial" w:cs="Arial"/>
          <w:sz w:val="24"/>
        </w:rPr>
        <w:t xml:space="preserve"> reconoció el interés legítimo de los quejosos </w:t>
      </w:r>
      <w:r w:rsidR="00195908">
        <w:rPr>
          <w:rFonts w:ascii="Arial" w:hAnsi="Arial" w:cs="Arial"/>
          <w:sz w:val="24"/>
        </w:rPr>
        <w:t xml:space="preserve">por su </w:t>
      </w:r>
      <w:r w:rsidR="00EA6724" w:rsidRPr="00EA6724">
        <w:rPr>
          <w:rFonts w:ascii="Arial" w:hAnsi="Arial" w:cs="Arial"/>
          <w:sz w:val="24"/>
        </w:rPr>
        <w:t>calidad de defensor de derechos humanos</w:t>
      </w:r>
      <w:r w:rsidR="00195908">
        <w:rPr>
          <w:rFonts w:ascii="Arial" w:hAnsi="Arial" w:cs="Arial"/>
          <w:sz w:val="24"/>
        </w:rPr>
        <w:t>.</w:t>
      </w:r>
    </w:p>
    <w:p w14:paraId="783AB52C" w14:textId="77777777" w:rsidR="00240B4D" w:rsidRDefault="00240B4D" w:rsidP="00C36A92">
      <w:pPr>
        <w:pStyle w:val="Sangradetextonormal"/>
        <w:spacing w:line="276" w:lineRule="auto"/>
        <w:rPr>
          <w:rFonts w:ascii="Arial" w:hAnsi="Arial" w:cs="Arial"/>
          <w:sz w:val="24"/>
        </w:rPr>
      </w:pPr>
    </w:p>
    <w:p w14:paraId="42817712" w14:textId="0C1605EE" w:rsidR="00C12968" w:rsidRDefault="00240B4D" w:rsidP="00C36A92">
      <w:pPr>
        <w:pStyle w:val="Sangradetextonormal"/>
        <w:spacing w:line="276" w:lineRule="auto"/>
        <w:rPr>
          <w:rFonts w:ascii="Arial" w:hAnsi="Arial" w:cs="Arial"/>
          <w:sz w:val="24"/>
        </w:rPr>
      </w:pPr>
      <w:r w:rsidRPr="00240B4D">
        <w:rPr>
          <w:rFonts w:ascii="Arial" w:hAnsi="Arial" w:cs="Arial"/>
          <w:b/>
          <w:sz w:val="24"/>
        </w:rPr>
        <w:t>2.</w:t>
      </w:r>
      <w:r>
        <w:rPr>
          <w:rFonts w:ascii="Arial" w:hAnsi="Arial" w:cs="Arial"/>
          <w:sz w:val="24"/>
        </w:rPr>
        <w:t xml:space="preserve"> </w:t>
      </w:r>
      <w:r w:rsidR="00F17D6F">
        <w:rPr>
          <w:rFonts w:ascii="Arial" w:hAnsi="Arial" w:cs="Arial"/>
          <w:sz w:val="24"/>
        </w:rPr>
        <w:t xml:space="preserve">También queremos mencionar que </w:t>
      </w:r>
      <w:r w:rsidR="00195908">
        <w:rPr>
          <w:rFonts w:ascii="Arial" w:hAnsi="Arial" w:cs="Arial"/>
          <w:sz w:val="24"/>
        </w:rPr>
        <w:t>e</w:t>
      </w:r>
      <w:r w:rsidR="00C12968">
        <w:rPr>
          <w:rFonts w:ascii="Arial" w:hAnsi="Arial" w:cs="Arial"/>
          <w:sz w:val="24"/>
        </w:rPr>
        <w:t xml:space="preserve">l 3 de septiembre de 2022 el Frente Nacional Ciudadano organizó y asistió junto con miles de mexicanos a una protesta caminando por la Ciudad de México, con lonas, </w:t>
      </w:r>
      <w:r>
        <w:rPr>
          <w:rFonts w:ascii="Arial" w:hAnsi="Arial" w:cs="Arial"/>
          <w:sz w:val="24"/>
        </w:rPr>
        <w:t xml:space="preserve">banderas, </w:t>
      </w:r>
      <w:r w:rsidR="00C12968">
        <w:rPr>
          <w:rFonts w:ascii="Arial" w:hAnsi="Arial" w:cs="Arial"/>
          <w:sz w:val="24"/>
        </w:rPr>
        <w:t>cartulinas, gritos</w:t>
      </w:r>
      <w:r>
        <w:rPr>
          <w:rFonts w:ascii="Arial" w:hAnsi="Arial" w:cs="Arial"/>
          <w:sz w:val="24"/>
        </w:rPr>
        <w:t>, deliberación entre ciudadanos, discursos</w:t>
      </w:r>
      <w:r w:rsidR="00C12968">
        <w:rPr>
          <w:rFonts w:ascii="Arial" w:hAnsi="Arial" w:cs="Arial"/>
          <w:sz w:val="24"/>
        </w:rPr>
        <w:t xml:space="preserve"> y expresiones, que culminó afuera del Palacio Nacional cuyo objetivo fue </w:t>
      </w:r>
      <w:r w:rsidR="00AC6B82">
        <w:rPr>
          <w:rFonts w:ascii="Arial" w:hAnsi="Arial" w:cs="Arial"/>
          <w:sz w:val="24"/>
        </w:rPr>
        <w:t xml:space="preserve">marchar </w:t>
      </w:r>
      <w:r w:rsidR="003164BC">
        <w:rPr>
          <w:rFonts w:ascii="Arial" w:hAnsi="Arial" w:cs="Arial"/>
          <w:sz w:val="24"/>
        </w:rPr>
        <w:t>por</w:t>
      </w:r>
      <w:r w:rsidR="00C12968">
        <w:rPr>
          <w:rFonts w:ascii="Arial" w:hAnsi="Arial" w:cs="Arial"/>
          <w:sz w:val="24"/>
        </w:rPr>
        <w:t xml:space="preserve"> </w:t>
      </w:r>
      <w:r w:rsidR="00AC6B82">
        <w:rPr>
          <w:rFonts w:ascii="Arial" w:hAnsi="Arial" w:cs="Arial"/>
          <w:sz w:val="24"/>
        </w:rPr>
        <w:t xml:space="preserve">la </w:t>
      </w:r>
      <w:r w:rsidR="00AC6B82" w:rsidRPr="001C1290">
        <w:rPr>
          <w:rFonts w:ascii="Arial" w:hAnsi="Arial" w:cs="Arial"/>
          <w:i/>
          <w:sz w:val="24"/>
        </w:rPr>
        <w:t>Paz y la Unidad</w:t>
      </w:r>
      <w:r w:rsidR="00AC6B82">
        <w:rPr>
          <w:rFonts w:ascii="Arial" w:hAnsi="Arial" w:cs="Arial"/>
          <w:sz w:val="24"/>
        </w:rPr>
        <w:t xml:space="preserve"> en nuestro país</w:t>
      </w:r>
      <w:r w:rsidR="00C12968">
        <w:rPr>
          <w:rStyle w:val="Refdenotaalpie"/>
          <w:rFonts w:ascii="Arial" w:hAnsi="Arial" w:cs="Arial"/>
          <w:sz w:val="24"/>
        </w:rPr>
        <w:footnoteReference w:id="5"/>
      </w:r>
      <w:r w:rsidR="00AC6B82">
        <w:rPr>
          <w:rFonts w:ascii="Arial" w:hAnsi="Arial" w:cs="Arial"/>
          <w:sz w:val="24"/>
        </w:rPr>
        <w:t>,</w:t>
      </w:r>
      <w:r w:rsidR="00C12968">
        <w:rPr>
          <w:rFonts w:ascii="Arial" w:hAnsi="Arial" w:cs="Arial"/>
          <w:sz w:val="24"/>
        </w:rPr>
        <w:t xml:space="preserve"> </w:t>
      </w:r>
      <w:r w:rsidR="00AC6B82">
        <w:rPr>
          <w:rFonts w:ascii="Arial" w:hAnsi="Arial" w:cs="Arial"/>
          <w:sz w:val="24"/>
        </w:rPr>
        <w:t xml:space="preserve">expresando </w:t>
      </w:r>
      <w:r w:rsidR="00AC6B82">
        <w:rPr>
          <w:rFonts w:ascii="Arial" w:hAnsi="Arial" w:cs="Arial"/>
          <w:sz w:val="24"/>
        </w:rPr>
        <w:lastRenderedPageBreak/>
        <w:t>nuestro grito de independencia de gobiernos traidores</w:t>
      </w:r>
      <w:r w:rsidR="00C12968">
        <w:rPr>
          <w:rFonts w:ascii="Arial" w:hAnsi="Arial" w:cs="Arial"/>
          <w:sz w:val="24"/>
        </w:rPr>
        <w:t xml:space="preserve">, </w:t>
      </w:r>
      <w:r w:rsidR="00891702">
        <w:rPr>
          <w:rFonts w:ascii="Arial" w:hAnsi="Arial" w:cs="Arial"/>
          <w:sz w:val="24"/>
        </w:rPr>
        <w:t>asimismo expresamos</w:t>
      </w:r>
      <w:r w:rsidR="00C12968">
        <w:rPr>
          <w:rFonts w:ascii="Arial" w:hAnsi="Arial" w:cs="Arial"/>
          <w:sz w:val="24"/>
        </w:rPr>
        <w:t xml:space="preserve"> nuestra inconformidad contra la posible aprobación de una iniciativa del presidente presentada en la Cámara de Diputados de fusionar la Guardia Nacional con la Secretaría de la Defensa Nacional</w:t>
      </w:r>
      <w:r w:rsidR="00C12968">
        <w:rPr>
          <w:rStyle w:val="Refdenotaalpie"/>
          <w:rFonts w:ascii="Arial" w:hAnsi="Arial" w:cs="Arial"/>
          <w:sz w:val="24"/>
        </w:rPr>
        <w:footnoteReference w:id="6"/>
      </w:r>
      <w:r w:rsidR="00C12968">
        <w:rPr>
          <w:rFonts w:ascii="Arial" w:hAnsi="Arial" w:cs="Arial"/>
          <w:sz w:val="24"/>
        </w:rPr>
        <w:t xml:space="preserve">.  </w:t>
      </w:r>
    </w:p>
    <w:p w14:paraId="41F0CED4" w14:textId="650ADA52" w:rsidR="00B63BA7" w:rsidRDefault="00B63BA7" w:rsidP="00810E13">
      <w:pPr>
        <w:pStyle w:val="Sangradetextonormal"/>
        <w:spacing w:line="276" w:lineRule="auto"/>
        <w:ind w:firstLine="0"/>
        <w:rPr>
          <w:rFonts w:ascii="Arial" w:hAnsi="Arial" w:cs="Arial"/>
          <w:sz w:val="24"/>
        </w:rPr>
      </w:pPr>
      <w:r>
        <w:rPr>
          <w:rFonts w:ascii="Arial" w:hAnsi="Arial" w:cs="Arial"/>
          <w:sz w:val="24"/>
        </w:rPr>
        <w:t>Lo anterior lo hicimos porque “</w:t>
      </w:r>
      <w:r w:rsidRPr="00B63BA7">
        <w:rPr>
          <w:rFonts w:ascii="Arial" w:hAnsi="Arial" w:cs="Arial"/>
          <w:i/>
          <w:sz w:val="24"/>
        </w:rPr>
        <w:t>la protesta juega un papel central en la defensa de la democracia y los derechos humanos. La protesta tiene como una de sus funcionales canalizar y amplificar las demandas, aspiraciones y reclamos de grupos de la población. Los derechos de libertad de expresión, reunión pacífica y asociación garantizan y protegen diversas formas individuales y colectivas de expresar públicamente opiniones disenso, demandar el cumplimiento de derechos</w:t>
      </w:r>
      <w:r>
        <w:rPr>
          <w:rFonts w:ascii="Arial" w:hAnsi="Arial" w:cs="Arial"/>
          <w:i/>
          <w:sz w:val="24"/>
        </w:rPr>
        <w:t>”</w:t>
      </w:r>
      <w:r>
        <w:rPr>
          <w:rFonts w:ascii="Arial" w:hAnsi="Arial" w:cs="Arial"/>
          <w:sz w:val="24"/>
        </w:rPr>
        <w:t>.</w:t>
      </w:r>
      <w:r>
        <w:rPr>
          <w:rStyle w:val="Refdenotaalpie"/>
          <w:rFonts w:ascii="Arial" w:hAnsi="Arial" w:cs="Arial"/>
          <w:sz w:val="24"/>
        </w:rPr>
        <w:footnoteReference w:id="7"/>
      </w:r>
    </w:p>
    <w:p w14:paraId="1976AE3C" w14:textId="77777777" w:rsidR="00810E13" w:rsidRDefault="00810E13" w:rsidP="00C36A92">
      <w:pPr>
        <w:pStyle w:val="Sangradetextonormal"/>
        <w:spacing w:line="276" w:lineRule="auto"/>
        <w:rPr>
          <w:rFonts w:ascii="Arial" w:hAnsi="Arial" w:cs="Arial"/>
          <w:sz w:val="24"/>
        </w:rPr>
      </w:pPr>
    </w:p>
    <w:p w14:paraId="00A50258" w14:textId="406B565D" w:rsidR="00810E13" w:rsidRDefault="00810E13" w:rsidP="00810E13">
      <w:pPr>
        <w:jc w:val="both"/>
        <w:rPr>
          <w:rFonts w:ascii="Arial" w:hAnsi="Arial" w:cs="Arial"/>
          <w:sz w:val="24"/>
          <w:szCs w:val="24"/>
        </w:rPr>
      </w:pPr>
      <w:r w:rsidRPr="00810E13">
        <w:rPr>
          <w:rFonts w:ascii="Arial" w:hAnsi="Arial" w:cs="Arial"/>
          <w:sz w:val="24"/>
          <w:szCs w:val="24"/>
        </w:rPr>
        <w:t xml:space="preserve">Además </w:t>
      </w:r>
      <w:r>
        <w:rPr>
          <w:rFonts w:ascii="Arial" w:hAnsi="Arial" w:cs="Arial"/>
          <w:sz w:val="24"/>
          <w:szCs w:val="24"/>
        </w:rPr>
        <w:t>porque</w:t>
      </w:r>
      <w:r w:rsidRPr="00810E13">
        <w:rPr>
          <w:rFonts w:ascii="Arial" w:hAnsi="Arial" w:cs="Arial"/>
          <w:sz w:val="24"/>
          <w:szCs w:val="24"/>
        </w:rPr>
        <w:t xml:space="preserve"> </w:t>
      </w:r>
      <w:r>
        <w:rPr>
          <w:rFonts w:ascii="Arial" w:hAnsi="Arial" w:cs="Arial"/>
          <w:sz w:val="24"/>
          <w:szCs w:val="24"/>
        </w:rPr>
        <w:t>la</w:t>
      </w:r>
      <w:r w:rsidRPr="0033383C">
        <w:rPr>
          <w:rFonts w:ascii="Arial" w:hAnsi="Arial" w:cs="Arial"/>
          <w:sz w:val="24"/>
          <w:szCs w:val="24"/>
        </w:rPr>
        <w:t xml:space="preserve"> sociedad civil organizada es un ente político </w:t>
      </w:r>
      <w:r w:rsidRPr="00810E13">
        <w:rPr>
          <w:rFonts w:ascii="Arial" w:hAnsi="Arial" w:cs="Arial"/>
          <w:sz w:val="24"/>
          <w:szCs w:val="24"/>
        </w:rPr>
        <w:t>movido por la acción y la voluntad humana.</w:t>
      </w:r>
      <w:r w:rsidRPr="0033383C">
        <w:rPr>
          <w:rFonts w:ascii="Arial" w:hAnsi="Arial" w:cs="Arial"/>
          <w:sz w:val="24"/>
          <w:szCs w:val="24"/>
        </w:rPr>
        <w:t xml:space="preserve"> Es el </w:t>
      </w:r>
      <w:r w:rsidRPr="00810E13">
        <w:rPr>
          <w:rFonts w:ascii="Arial" w:hAnsi="Arial" w:cs="Arial"/>
          <w:sz w:val="24"/>
          <w:szCs w:val="24"/>
        </w:rPr>
        <w:t>actor al que corresponde diariamente recordar a los Estados</w:t>
      </w:r>
      <w:r w:rsidRPr="0033383C">
        <w:rPr>
          <w:rFonts w:ascii="Arial" w:hAnsi="Arial" w:cs="Arial"/>
          <w:sz w:val="24"/>
          <w:szCs w:val="24"/>
        </w:rPr>
        <w:t xml:space="preserve">, a los órganos de supervisión de los diferentes sistemas regionales de protección de los derechos humanos y a las organizaciones internacionales respectivas (Consejo de Europa y OEA), </w:t>
      </w:r>
      <w:r w:rsidRPr="00810E13">
        <w:rPr>
          <w:rFonts w:ascii="Arial" w:hAnsi="Arial" w:cs="Arial"/>
          <w:sz w:val="24"/>
          <w:szCs w:val="24"/>
        </w:rPr>
        <w:t>la existencia de un conjunto de derechos</w:t>
      </w:r>
      <w:r w:rsidRPr="0033383C">
        <w:rPr>
          <w:rFonts w:ascii="Arial" w:hAnsi="Arial" w:cs="Arial"/>
          <w:sz w:val="24"/>
          <w:szCs w:val="24"/>
        </w:rPr>
        <w:t xml:space="preserve"> –consubstanciados en los documentos y tratados internacionales respectivos– que debe ser respetado, protegido y vigilado por cada uno de ellos</w:t>
      </w:r>
      <w:r w:rsidRPr="0033383C">
        <w:rPr>
          <w:rStyle w:val="Refdenotaalpie"/>
          <w:rFonts w:ascii="Arial" w:hAnsi="Arial" w:cs="Arial"/>
          <w:sz w:val="24"/>
        </w:rPr>
        <w:footnoteReference w:id="8"/>
      </w:r>
      <w:r w:rsidRPr="0033383C">
        <w:rPr>
          <w:rFonts w:ascii="Arial" w:hAnsi="Arial" w:cs="Arial"/>
          <w:sz w:val="24"/>
          <w:szCs w:val="24"/>
        </w:rPr>
        <w:t>.</w:t>
      </w:r>
    </w:p>
    <w:p w14:paraId="2446F628" w14:textId="0CF1B4E8" w:rsidR="00C36A92" w:rsidRDefault="00240B4D" w:rsidP="00C36A92">
      <w:pPr>
        <w:pStyle w:val="Sangradetextonormal"/>
        <w:spacing w:line="276" w:lineRule="auto"/>
        <w:rPr>
          <w:rFonts w:ascii="Arial" w:hAnsi="Arial" w:cs="Arial"/>
          <w:sz w:val="24"/>
        </w:rPr>
      </w:pPr>
      <w:r>
        <w:rPr>
          <w:rFonts w:ascii="Arial" w:hAnsi="Arial" w:cs="Arial"/>
          <w:b/>
          <w:sz w:val="24"/>
        </w:rPr>
        <w:t>3.</w:t>
      </w:r>
      <w:r w:rsidR="00C12968">
        <w:rPr>
          <w:rFonts w:ascii="Arial" w:hAnsi="Arial" w:cs="Arial"/>
          <w:sz w:val="24"/>
        </w:rPr>
        <w:t xml:space="preserve"> </w:t>
      </w:r>
      <w:r w:rsidR="00F17D6F">
        <w:rPr>
          <w:rFonts w:ascii="Arial" w:hAnsi="Arial" w:cs="Arial"/>
          <w:sz w:val="24"/>
        </w:rPr>
        <w:t xml:space="preserve">Ahora bien, por lo que ve a los antecedentes estrechamente relacionados con las normas reclamadas, </w:t>
      </w:r>
      <w:r w:rsidR="003C30F0">
        <w:rPr>
          <w:rFonts w:ascii="Arial" w:hAnsi="Arial" w:cs="Arial"/>
          <w:sz w:val="24"/>
        </w:rPr>
        <w:t>e</w:t>
      </w:r>
      <w:r w:rsidR="00BC7057">
        <w:rPr>
          <w:rFonts w:ascii="Arial" w:hAnsi="Arial" w:cs="Arial"/>
          <w:sz w:val="24"/>
        </w:rPr>
        <w:t xml:space="preserve">l </w:t>
      </w:r>
      <w:r w:rsidR="00836E9A">
        <w:rPr>
          <w:rFonts w:ascii="Arial" w:hAnsi="Arial" w:cs="Arial"/>
          <w:sz w:val="24"/>
        </w:rPr>
        <w:t>nueve de septiembre de dos mil veintidós</w:t>
      </w:r>
      <w:r w:rsidR="00BC7057">
        <w:rPr>
          <w:rFonts w:ascii="Arial" w:hAnsi="Arial" w:cs="Arial"/>
          <w:sz w:val="24"/>
        </w:rPr>
        <w:t xml:space="preserve"> </w:t>
      </w:r>
      <w:r w:rsidR="004A6C06">
        <w:rPr>
          <w:rFonts w:ascii="Arial" w:hAnsi="Arial" w:cs="Arial"/>
          <w:sz w:val="24"/>
        </w:rPr>
        <w:t xml:space="preserve">los suscritos </w:t>
      </w:r>
      <w:r w:rsidR="00B20C90">
        <w:rPr>
          <w:rFonts w:ascii="Arial" w:hAnsi="Arial" w:cs="Arial"/>
          <w:sz w:val="24"/>
        </w:rPr>
        <w:t xml:space="preserve">nos percatamos en la siguiente página de internet </w:t>
      </w:r>
      <w:hyperlink r:id="rId9" w:anchor="gsc.tab=0" w:history="1">
        <w:r w:rsidR="00B20C90" w:rsidRPr="00B20C90">
          <w:rPr>
            <w:rStyle w:val="Hipervnculo"/>
            <w:rFonts w:ascii="Arial" w:hAnsi="Arial" w:cs="Arial"/>
            <w:sz w:val="22"/>
          </w:rPr>
          <w:t>https://dof.gob.mx/nota_detalle.php?codigo=5664065&amp;fecha=09/09/2022#gsc.tab=0</w:t>
        </w:r>
      </w:hyperlink>
      <w:r w:rsidR="00B20C90">
        <w:rPr>
          <w:rFonts w:ascii="Arial" w:hAnsi="Arial" w:cs="Arial"/>
          <w:sz w:val="24"/>
        </w:rPr>
        <w:t xml:space="preserve"> que </w:t>
      </w:r>
      <w:r w:rsidR="00BC7057">
        <w:rPr>
          <w:rFonts w:ascii="Arial" w:hAnsi="Arial" w:cs="Arial"/>
          <w:sz w:val="24"/>
        </w:rPr>
        <w:t xml:space="preserve">se publicó en el Diario Oficial de la Federación el </w:t>
      </w:r>
      <w:r w:rsidR="00891702">
        <w:rPr>
          <w:rFonts w:ascii="Arial" w:hAnsi="Arial" w:cs="Arial"/>
          <w:sz w:val="24"/>
        </w:rPr>
        <w:t>“</w:t>
      </w:r>
      <w:r w:rsidR="00C36A92" w:rsidRPr="00067EE7">
        <w:rPr>
          <w:rFonts w:ascii="Arial" w:hAnsi="Arial" w:cs="Arial"/>
          <w:i/>
          <w:sz w:val="24"/>
        </w:rPr>
        <w:t>Decreto por el que se reforman, adicionan y derogan diversas disposiciones de la Ley Orgánica de la Administración Pública Federal; de la Ley de la Guardia Nacional; de la Ley Orgánica del Ejército y Fuerza Aérea Mexicanos, y de la Ley de Ascensos y Recompensas del Ejército y Fuerza Aérea Mexicanos, en Materia de Guardia Nacional y Seguridad Publica</w:t>
      </w:r>
      <w:r w:rsidR="00891702">
        <w:rPr>
          <w:rFonts w:ascii="Arial" w:hAnsi="Arial" w:cs="Arial"/>
          <w:i/>
          <w:sz w:val="24"/>
        </w:rPr>
        <w:t>”</w:t>
      </w:r>
      <w:r w:rsidR="00C36A92">
        <w:rPr>
          <w:rFonts w:ascii="Arial" w:hAnsi="Arial" w:cs="Arial"/>
          <w:sz w:val="24"/>
        </w:rPr>
        <w:t>.</w:t>
      </w:r>
    </w:p>
    <w:p w14:paraId="122F209D" w14:textId="77777777" w:rsidR="00267EB2" w:rsidRPr="00EF2874" w:rsidRDefault="00267EB2" w:rsidP="003C39B4">
      <w:pPr>
        <w:pStyle w:val="Sangradetextonormal"/>
        <w:spacing w:line="276" w:lineRule="auto"/>
        <w:rPr>
          <w:rFonts w:ascii="Arial" w:hAnsi="Arial" w:cs="Arial"/>
          <w:sz w:val="24"/>
          <w:highlight w:val="yellow"/>
        </w:rPr>
      </w:pPr>
    </w:p>
    <w:p w14:paraId="3333D4E9" w14:textId="185092CE" w:rsidR="00BC7057" w:rsidRDefault="009E59BB" w:rsidP="003C39B4">
      <w:pPr>
        <w:spacing w:after="0"/>
        <w:ind w:firstLine="708"/>
        <w:jc w:val="both"/>
        <w:rPr>
          <w:rFonts w:ascii="Arial" w:hAnsi="Arial" w:cs="Arial"/>
          <w:bCs/>
          <w:sz w:val="24"/>
          <w:szCs w:val="24"/>
        </w:rPr>
      </w:pPr>
      <w:r>
        <w:rPr>
          <w:rFonts w:ascii="Arial" w:hAnsi="Arial" w:cs="Arial"/>
          <w:b/>
          <w:sz w:val="24"/>
          <w:szCs w:val="24"/>
        </w:rPr>
        <w:t>4</w:t>
      </w:r>
      <w:r w:rsidR="002A06EC" w:rsidRPr="00EF2874">
        <w:rPr>
          <w:rFonts w:ascii="Arial" w:hAnsi="Arial" w:cs="Arial"/>
          <w:b/>
          <w:sz w:val="24"/>
          <w:szCs w:val="24"/>
        </w:rPr>
        <w:t>.</w:t>
      </w:r>
      <w:r w:rsidR="00036448" w:rsidRPr="00EF2874">
        <w:rPr>
          <w:rFonts w:ascii="Arial" w:hAnsi="Arial" w:cs="Arial"/>
          <w:b/>
          <w:sz w:val="24"/>
          <w:szCs w:val="24"/>
        </w:rPr>
        <w:t xml:space="preserve"> </w:t>
      </w:r>
      <w:r w:rsidR="00B52CAE">
        <w:rPr>
          <w:rFonts w:ascii="Arial" w:hAnsi="Arial" w:cs="Arial"/>
          <w:bCs/>
          <w:sz w:val="24"/>
          <w:szCs w:val="24"/>
        </w:rPr>
        <w:t>Después de ver el decreto en cita</w:t>
      </w:r>
      <w:r w:rsidR="004A6C06">
        <w:rPr>
          <w:rFonts w:ascii="Arial" w:hAnsi="Arial" w:cs="Arial"/>
          <w:bCs/>
          <w:sz w:val="24"/>
          <w:szCs w:val="24"/>
        </w:rPr>
        <w:t xml:space="preserve"> en internet, nos dimos cuenta de </w:t>
      </w:r>
      <w:r w:rsidR="00BC7057" w:rsidRPr="00BC7057">
        <w:rPr>
          <w:rFonts w:ascii="Arial" w:hAnsi="Arial" w:cs="Arial"/>
          <w:bCs/>
          <w:sz w:val="24"/>
          <w:szCs w:val="24"/>
        </w:rPr>
        <w:t>que</w:t>
      </w:r>
      <w:r w:rsidR="004A6C06">
        <w:rPr>
          <w:rFonts w:ascii="Arial" w:hAnsi="Arial" w:cs="Arial"/>
          <w:bCs/>
          <w:sz w:val="24"/>
          <w:szCs w:val="24"/>
        </w:rPr>
        <w:t xml:space="preserve"> </w:t>
      </w:r>
      <w:r w:rsidR="00B20C90">
        <w:rPr>
          <w:rFonts w:ascii="Arial" w:hAnsi="Arial" w:cs="Arial"/>
          <w:bCs/>
          <w:sz w:val="24"/>
          <w:szCs w:val="24"/>
        </w:rPr>
        <w:t>en su artículo Primero Transitorio</w:t>
      </w:r>
      <w:r w:rsidR="00D80310">
        <w:rPr>
          <w:rFonts w:ascii="Arial" w:hAnsi="Arial" w:cs="Arial"/>
          <w:bCs/>
          <w:sz w:val="24"/>
          <w:szCs w:val="24"/>
        </w:rPr>
        <w:t>, dice que el decreto</w:t>
      </w:r>
      <w:r w:rsidR="00B20C90">
        <w:rPr>
          <w:rFonts w:ascii="Arial" w:hAnsi="Arial" w:cs="Arial"/>
          <w:bCs/>
          <w:sz w:val="24"/>
          <w:szCs w:val="24"/>
        </w:rPr>
        <w:t xml:space="preserve"> </w:t>
      </w:r>
      <w:r w:rsidR="00BC7057" w:rsidRPr="00BC7057">
        <w:rPr>
          <w:rFonts w:ascii="Arial" w:hAnsi="Arial" w:cs="Arial"/>
          <w:bCs/>
          <w:sz w:val="24"/>
          <w:szCs w:val="24"/>
        </w:rPr>
        <w:t>entró en vigor al día siguiente de su publicación en el D</w:t>
      </w:r>
      <w:r w:rsidR="00ED0651">
        <w:rPr>
          <w:rFonts w:ascii="Arial" w:hAnsi="Arial" w:cs="Arial"/>
          <w:bCs/>
          <w:sz w:val="24"/>
          <w:szCs w:val="24"/>
        </w:rPr>
        <w:t>iario Oficial de la Federación</w:t>
      </w:r>
      <w:r w:rsidR="00BC7057" w:rsidRPr="00BC7057">
        <w:rPr>
          <w:rFonts w:ascii="Arial" w:hAnsi="Arial" w:cs="Arial"/>
          <w:bCs/>
          <w:sz w:val="24"/>
          <w:szCs w:val="24"/>
        </w:rPr>
        <w:t>.</w:t>
      </w:r>
    </w:p>
    <w:p w14:paraId="417CFFC8" w14:textId="25872F76" w:rsidR="00D80310" w:rsidRDefault="00D80310" w:rsidP="00D80310">
      <w:pPr>
        <w:spacing w:after="0"/>
        <w:ind w:firstLine="708"/>
        <w:jc w:val="both"/>
        <w:rPr>
          <w:rFonts w:ascii="Arial" w:hAnsi="Arial" w:cs="Arial"/>
          <w:bCs/>
          <w:sz w:val="24"/>
          <w:szCs w:val="24"/>
        </w:rPr>
      </w:pPr>
      <w:r>
        <w:rPr>
          <w:rFonts w:ascii="Arial" w:hAnsi="Arial" w:cs="Arial"/>
          <w:bCs/>
          <w:sz w:val="24"/>
          <w:szCs w:val="24"/>
        </w:rPr>
        <w:t xml:space="preserve">Decreto que nos </w:t>
      </w:r>
      <w:r w:rsidR="00024A86">
        <w:rPr>
          <w:rFonts w:ascii="Arial" w:hAnsi="Arial" w:cs="Arial"/>
          <w:bCs/>
          <w:sz w:val="24"/>
          <w:szCs w:val="24"/>
        </w:rPr>
        <w:t>generó ame</w:t>
      </w:r>
      <w:r w:rsidR="000356F3">
        <w:rPr>
          <w:rFonts w:ascii="Arial" w:hAnsi="Arial" w:cs="Arial"/>
          <w:bCs/>
          <w:sz w:val="24"/>
          <w:szCs w:val="24"/>
        </w:rPr>
        <w:t xml:space="preserve">drentación por las consecuencias del decreto que podrían implicar actos de imposible reparación que inhibe el ejercicio de los derechos de libertades, civiles y políticos, lo </w:t>
      </w:r>
      <w:r w:rsidR="00024A86">
        <w:rPr>
          <w:rFonts w:ascii="Arial" w:hAnsi="Arial" w:cs="Arial"/>
          <w:bCs/>
          <w:sz w:val="24"/>
          <w:szCs w:val="24"/>
        </w:rPr>
        <w:t xml:space="preserve">que </w:t>
      </w:r>
      <w:r>
        <w:rPr>
          <w:rFonts w:ascii="Arial" w:hAnsi="Arial" w:cs="Arial"/>
          <w:bCs/>
          <w:sz w:val="24"/>
          <w:szCs w:val="24"/>
        </w:rPr>
        <w:t>nos llevó a actuar a través del siguiente amparo</w:t>
      </w:r>
      <w:r w:rsidR="00810E13">
        <w:rPr>
          <w:rFonts w:ascii="Arial" w:hAnsi="Arial" w:cs="Arial"/>
          <w:bCs/>
          <w:sz w:val="24"/>
          <w:szCs w:val="24"/>
        </w:rPr>
        <w:t>.</w:t>
      </w:r>
    </w:p>
    <w:p w14:paraId="7543B4D3" w14:textId="77777777" w:rsidR="00D80310" w:rsidRDefault="00D80310" w:rsidP="003C39B4">
      <w:pPr>
        <w:spacing w:after="0"/>
        <w:ind w:firstLine="708"/>
        <w:jc w:val="both"/>
        <w:rPr>
          <w:rFonts w:ascii="Arial" w:hAnsi="Arial" w:cs="Arial"/>
          <w:bCs/>
          <w:sz w:val="24"/>
          <w:szCs w:val="24"/>
        </w:rPr>
      </w:pPr>
    </w:p>
    <w:p w14:paraId="6C0C7645" w14:textId="754BDC36" w:rsidR="003C30F0" w:rsidRDefault="009E59BB" w:rsidP="003C39B4">
      <w:pPr>
        <w:spacing w:after="0"/>
        <w:ind w:firstLine="708"/>
        <w:jc w:val="both"/>
        <w:rPr>
          <w:rFonts w:ascii="Arial" w:hAnsi="Arial" w:cs="Arial"/>
          <w:bCs/>
          <w:sz w:val="24"/>
          <w:szCs w:val="24"/>
        </w:rPr>
      </w:pPr>
      <w:r>
        <w:rPr>
          <w:rFonts w:ascii="Arial" w:hAnsi="Arial" w:cs="Arial"/>
          <w:b/>
          <w:bCs/>
          <w:sz w:val="24"/>
          <w:szCs w:val="24"/>
        </w:rPr>
        <w:t>5</w:t>
      </w:r>
      <w:r w:rsidR="003C30F0" w:rsidRPr="003C30F0">
        <w:rPr>
          <w:rFonts w:ascii="Arial" w:hAnsi="Arial" w:cs="Arial"/>
          <w:b/>
          <w:bCs/>
          <w:sz w:val="24"/>
          <w:szCs w:val="24"/>
        </w:rPr>
        <w:t>.</w:t>
      </w:r>
      <w:r w:rsidR="003C30F0">
        <w:rPr>
          <w:rFonts w:ascii="Arial" w:hAnsi="Arial" w:cs="Arial"/>
          <w:bCs/>
          <w:sz w:val="24"/>
          <w:szCs w:val="24"/>
        </w:rPr>
        <w:t xml:space="preserve"> </w:t>
      </w:r>
      <w:r w:rsidR="00B52CAE">
        <w:rPr>
          <w:rFonts w:ascii="Arial" w:hAnsi="Arial" w:cs="Arial"/>
          <w:bCs/>
          <w:sz w:val="24"/>
          <w:szCs w:val="24"/>
        </w:rPr>
        <w:t>Por su parte</w:t>
      </w:r>
      <w:r w:rsidR="004A6C06">
        <w:rPr>
          <w:rFonts w:ascii="Arial" w:hAnsi="Arial" w:cs="Arial"/>
          <w:bCs/>
          <w:sz w:val="24"/>
          <w:szCs w:val="24"/>
        </w:rPr>
        <w:t>, el día</w:t>
      </w:r>
      <w:r w:rsidR="003C30F0">
        <w:rPr>
          <w:rFonts w:ascii="Arial" w:hAnsi="Arial" w:cs="Arial"/>
          <w:bCs/>
          <w:sz w:val="24"/>
          <w:szCs w:val="24"/>
        </w:rPr>
        <w:t xml:space="preserve"> 9 de septiembre la Comisión Interamericana de Derechos Humanos público en sus redes sociales </w:t>
      </w:r>
      <w:proofErr w:type="spellStart"/>
      <w:r w:rsidR="004A6C06" w:rsidRPr="004A6C06">
        <w:rPr>
          <w:rFonts w:ascii="Arial" w:hAnsi="Arial" w:cs="Arial"/>
          <w:bCs/>
          <w:i/>
          <w:sz w:val="24"/>
          <w:szCs w:val="24"/>
        </w:rPr>
        <w:t>f</w:t>
      </w:r>
      <w:r w:rsidR="003C30F0" w:rsidRPr="004A6C06">
        <w:rPr>
          <w:rFonts w:ascii="Arial" w:hAnsi="Arial" w:cs="Arial"/>
          <w:bCs/>
          <w:i/>
          <w:sz w:val="24"/>
          <w:szCs w:val="24"/>
        </w:rPr>
        <w:t>acebook</w:t>
      </w:r>
      <w:proofErr w:type="spellEnd"/>
      <w:r w:rsidR="003C30F0">
        <w:rPr>
          <w:rFonts w:ascii="Arial" w:hAnsi="Arial" w:cs="Arial"/>
          <w:bCs/>
          <w:sz w:val="24"/>
          <w:szCs w:val="24"/>
        </w:rPr>
        <w:t xml:space="preserve"> y </w:t>
      </w:r>
      <w:proofErr w:type="spellStart"/>
      <w:r w:rsidR="003C30F0" w:rsidRPr="004A6C06">
        <w:rPr>
          <w:rFonts w:ascii="Arial" w:hAnsi="Arial" w:cs="Arial"/>
          <w:bCs/>
          <w:i/>
          <w:sz w:val="24"/>
          <w:szCs w:val="24"/>
        </w:rPr>
        <w:t>twitter</w:t>
      </w:r>
      <w:proofErr w:type="spellEnd"/>
      <w:r w:rsidR="003C30F0">
        <w:rPr>
          <w:rFonts w:ascii="Arial" w:hAnsi="Arial" w:cs="Arial"/>
          <w:bCs/>
          <w:sz w:val="24"/>
          <w:szCs w:val="24"/>
        </w:rPr>
        <w:t xml:space="preserve"> un mensaje: </w:t>
      </w:r>
    </w:p>
    <w:p w14:paraId="1E8C963C" w14:textId="69F1DFF1" w:rsidR="003C30F0" w:rsidRDefault="003C30F0" w:rsidP="003C39B4">
      <w:pPr>
        <w:spacing w:after="0"/>
        <w:ind w:firstLine="708"/>
        <w:jc w:val="both"/>
        <w:rPr>
          <w:rFonts w:ascii="Arial" w:hAnsi="Arial" w:cs="Arial"/>
          <w:bCs/>
          <w:sz w:val="24"/>
          <w:szCs w:val="24"/>
        </w:rPr>
      </w:pPr>
      <w:r>
        <w:rPr>
          <w:rFonts w:ascii="Arial" w:hAnsi="Arial" w:cs="Arial"/>
          <w:bCs/>
          <w:sz w:val="24"/>
          <w:szCs w:val="24"/>
        </w:rPr>
        <w:t>“</w:t>
      </w:r>
      <w:r w:rsidRPr="003C30F0">
        <w:rPr>
          <w:rFonts w:ascii="Arial" w:hAnsi="Arial" w:cs="Arial"/>
          <w:bCs/>
          <w:i/>
          <w:sz w:val="24"/>
          <w:szCs w:val="24"/>
        </w:rPr>
        <w:t>México, Toda política pública de seguridad ciudadana debe contar con una institucionalidad independiente de las fuerzas militares, con una estructura policial civil para la prevención de los delitos y protección de civiles, mediante el respeto y garantía de los derechos humanos</w:t>
      </w:r>
      <w:r>
        <w:rPr>
          <w:rFonts w:ascii="Arial" w:hAnsi="Arial" w:cs="Arial"/>
          <w:bCs/>
          <w:sz w:val="24"/>
          <w:szCs w:val="24"/>
        </w:rPr>
        <w:t>”</w:t>
      </w:r>
      <w:r w:rsidR="004A6C06">
        <w:rPr>
          <w:rFonts w:ascii="Arial" w:hAnsi="Arial" w:cs="Arial"/>
          <w:bCs/>
          <w:sz w:val="24"/>
          <w:szCs w:val="24"/>
        </w:rPr>
        <w:t>.</w:t>
      </w:r>
    </w:p>
    <w:p w14:paraId="2FB5F229" w14:textId="77777777" w:rsidR="00F17D6F" w:rsidRDefault="00F17D6F" w:rsidP="003C39B4">
      <w:pPr>
        <w:spacing w:after="0"/>
        <w:ind w:firstLine="708"/>
        <w:jc w:val="both"/>
        <w:rPr>
          <w:rFonts w:ascii="Arial" w:hAnsi="Arial" w:cs="Arial"/>
          <w:bCs/>
          <w:sz w:val="24"/>
          <w:szCs w:val="24"/>
        </w:rPr>
      </w:pPr>
    </w:p>
    <w:p w14:paraId="44FC0B7A" w14:textId="30614070" w:rsidR="000F4452" w:rsidRDefault="00F17D6F" w:rsidP="003C39B4">
      <w:pPr>
        <w:spacing w:after="0"/>
        <w:ind w:firstLine="708"/>
        <w:jc w:val="both"/>
        <w:rPr>
          <w:rFonts w:ascii="Arial" w:hAnsi="Arial" w:cs="Arial"/>
          <w:bCs/>
          <w:sz w:val="24"/>
          <w:szCs w:val="24"/>
        </w:rPr>
      </w:pPr>
      <w:r w:rsidRPr="00F17D6F">
        <w:rPr>
          <w:rFonts w:ascii="Arial" w:hAnsi="Arial" w:cs="Arial"/>
          <w:b/>
          <w:bCs/>
          <w:sz w:val="24"/>
          <w:szCs w:val="24"/>
        </w:rPr>
        <w:t>6.</w:t>
      </w:r>
      <w:r>
        <w:rPr>
          <w:rFonts w:ascii="Arial" w:hAnsi="Arial" w:cs="Arial"/>
          <w:bCs/>
          <w:sz w:val="24"/>
          <w:szCs w:val="24"/>
        </w:rPr>
        <w:t xml:space="preserve"> Finalmente, queremos dejar en este capítulo </w:t>
      </w:r>
      <w:r w:rsidR="000F4452">
        <w:rPr>
          <w:rFonts w:ascii="Arial" w:hAnsi="Arial" w:cs="Arial"/>
          <w:bCs/>
          <w:sz w:val="24"/>
          <w:szCs w:val="24"/>
        </w:rPr>
        <w:t xml:space="preserve">como hecho notorio e inminente, </w:t>
      </w:r>
      <w:r>
        <w:rPr>
          <w:rFonts w:ascii="Arial" w:hAnsi="Arial" w:cs="Arial"/>
          <w:bCs/>
          <w:sz w:val="24"/>
          <w:szCs w:val="24"/>
        </w:rPr>
        <w:t xml:space="preserve">un terrible acontecimiento ocurrido a terceras personas en Ocotlán, Jalisco, el pasado 16 de octubre de 2022 lo que sucedió fue que la Guardia Nacional disparo contra </w:t>
      </w:r>
      <w:r>
        <w:rPr>
          <w:rFonts w:ascii="Arial" w:hAnsi="Arial" w:cs="Arial"/>
          <w:bCs/>
          <w:sz w:val="24"/>
          <w:szCs w:val="24"/>
        </w:rPr>
        <w:lastRenderedPageBreak/>
        <w:t>personas que realizaban una manifestación pública</w:t>
      </w:r>
      <w:r w:rsidR="000F4452">
        <w:rPr>
          <w:rFonts w:ascii="Arial" w:hAnsi="Arial" w:cs="Arial"/>
          <w:bCs/>
          <w:sz w:val="24"/>
          <w:szCs w:val="24"/>
        </w:rPr>
        <w:t>,</w:t>
      </w:r>
      <w:r>
        <w:rPr>
          <w:rFonts w:ascii="Arial" w:hAnsi="Arial" w:cs="Arial"/>
          <w:bCs/>
          <w:sz w:val="24"/>
          <w:szCs w:val="24"/>
        </w:rPr>
        <w:t xml:space="preserve"> para disuadir la protesta, </w:t>
      </w:r>
      <w:r w:rsidR="000F4452">
        <w:rPr>
          <w:rFonts w:ascii="Arial" w:hAnsi="Arial" w:cs="Arial"/>
          <w:bCs/>
          <w:sz w:val="24"/>
          <w:szCs w:val="24"/>
        </w:rPr>
        <w:t xml:space="preserve">lesionando a dos personas, </w:t>
      </w:r>
      <w:r>
        <w:rPr>
          <w:rFonts w:ascii="Arial" w:hAnsi="Arial" w:cs="Arial"/>
          <w:bCs/>
          <w:sz w:val="24"/>
          <w:szCs w:val="24"/>
        </w:rPr>
        <w:t>tal como puede consultarse en las notas periodísticas</w:t>
      </w:r>
      <w:r w:rsidR="000F4452">
        <w:rPr>
          <w:rFonts w:ascii="Arial" w:hAnsi="Arial" w:cs="Arial"/>
          <w:bCs/>
          <w:sz w:val="24"/>
          <w:szCs w:val="24"/>
        </w:rPr>
        <w:t>:</w:t>
      </w:r>
    </w:p>
    <w:p w14:paraId="7217EC7A" w14:textId="1451213D" w:rsidR="00F17D6F" w:rsidRPr="000F4452" w:rsidRDefault="00F17D6F" w:rsidP="000F4452">
      <w:pPr>
        <w:pStyle w:val="Prrafodelista"/>
        <w:numPr>
          <w:ilvl w:val="0"/>
          <w:numId w:val="47"/>
        </w:numPr>
        <w:spacing w:after="0"/>
        <w:jc w:val="both"/>
        <w:rPr>
          <w:rFonts w:ascii="Arial" w:hAnsi="Arial" w:cs="Arial"/>
          <w:bCs/>
          <w:sz w:val="24"/>
          <w:szCs w:val="24"/>
        </w:rPr>
      </w:pPr>
      <w:r w:rsidRPr="000F4452">
        <w:rPr>
          <w:rFonts w:ascii="Arial" w:hAnsi="Arial" w:cs="Arial"/>
          <w:bCs/>
          <w:sz w:val="24"/>
          <w:szCs w:val="24"/>
        </w:rPr>
        <w:t xml:space="preserve"> </w:t>
      </w:r>
      <w:hyperlink r:id="rId10" w:history="1">
        <w:r w:rsidRPr="000F4452">
          <w:rPr>
            <w:rStyle w:val="Hipervnculo"/>
            <w:rFonts w:ascii="Arial" w:hAnsi="Arial" w:cs="Arial"/>
            <w:bCs/>
            <w:sz w:val="24"/>
            <w:szCs w:val="24"/>
          </w:rPr>
          <w:t>https://www.informador.mx/jalisco/Balacera-en-Ocotlan-Guardia-Nacional-admite-que-disparo-contra-manifestantes-en-ese-municipio-20221016-0077.html</w:t>
        </w:r>
      </w:hyperlink>
      <w:r w:rsidR="000F4452" w:rsidRPr="000F4452">
        <w:rPr>
          <w:rFonts w:ascii="Arial" w:hAnsi="Arial" w:cs="Arial"/>
          <w:bCs/>
          <w:sz w:val="24"/>
          <w:szCs w:val="24"/>
        </w:rPr>
        <w:t>.</w:t>
      </w:r>
    </w:p>
    <w:p w14:paraId="2414EF10" w14:textId="60AF02D6" w:rsidR="000F4452" w:rsidRPr="000F4452" w:rsidRDefault="009525CD" w:rsidP="000F4452">
      <w:pPr>
        <w:pStyle w:val="Sangradetextonormal"/>
        <w:numPr>
          <w:ilvl w:val="0"/>
          <w:numId w:val="47"/>
        </w:numPr>
        <w:spacing w:line="276" w:lineRule="auto"/>
        <w:rPr>
          <w:rFonts w:ascii="Arial" w:hAnsi="Arial" w:cs="Arial"/>
          <w:bCs/>
          <w:sz w:val="24"/>
        </w:rPr>
      </w:pPr>
      <w:hyperlink r:id="rId11" w:history="1">
        <w:r w:rsidR="000F4452" w:rsidRPr="000F4452">
          <w:rPr>
            <w:rStyle w:val="Hipervnculo"/>
            <w:rFonts w:ascii="Arial" w:hAnsi="Arial" w:cs="Arial"/>
            <w:bCs/>
            <w:sz w:val="24"/>
          </w:rPr>
          <w:t>https://www.proceso.com.mx/nacional/estados/2022/10/17/guardia-nacional-dispara-habitantes-de-ocotlan-que-protestaban-por-su-actuacion-lesiona-dos-295264.html</w:t>
        </w:r>
      </w:hyperlink>
    </w:p>
    <w:p w14:paraId="6D02B281" w14:textId="77777777" w:rsidR="000F4452" w:rsidRDefault="000F4452" w:rsidP="000F4452">
      <w:pPr>
        <w:pStyle w:val="Sangradetextonormal"/>
        <w:spacing w:line="276" w:lineRule="auto"/>
        <w:ind w:firstLine="0"/>
        <w:rPr>
          <w:rFonts w:ascii="Arial" w:hAnsi="Arial" w:cs="Arial"/>
          <w:bCs/>
          <w:sz w:val="24"/>
        </w:rPr>
      </w:pPr>
    </w:p>
    <w:p w14:paraId="74277911" w14:textId="1A7B6C90" w:rsidR="000F4452" w:rsidRDefault="000F4452" w:rsidP="003C39B4">
      <w:pPr>
        <w:pStyle w:val="Sangradetextonormal"/>
        <w:spacing w:line="276" w:lineRule="auto"/>
        <w:rPr>
          <w:rFonts w:ascii="Arial" w:hAnsi="Arial" w:cs="Arial"/>
          <w:bCs/>
          <w:sz w:val="24"/>
        </w:rPr>
      </w:pPr>
      <w:r w:rsidRPr="000F4452">
        <w:rPr>
          <w:rFonts w:ascii="Arial" w:hAnsi="Arial" w:cs="Arial"/>
          <w:bCs/>
          <w:sz w:val="24"/>
        </w:rPr>
        <w:t xml:space="preserve">Por lo anterior, </w:t>
      </w:r>
      <w:r>
        <w:rPr>
          <w:rFonts w:ascii="Arial" w:hAnsi="Arial" w:cs="Arial"/>
          <w:bCs/>
          <w:sz w:val="24"/>
        </w:rPr>
        <w:t xml:space="preserve">consideramos imperiosa la necesidad de ampararnos </w:t>
      </w:r>
      <w:r w:rsidR="00824580">
        <w:rPr>
          <w:rFonts w:ascii="Arial" w:hAnsi="Arial" w:cs="Arial"/>
          <w:bCs/>
          <w:sz w:val="24"/>
        </w:rPr>
        <w:t xml:space="preserve">contra las normas generales que se reclaman en el capítulo anterior, </w:t>
      </w:r>
      <w:r>
        <w:rPr>
          <w:rFonts w:ascii="Arial" w:hAnsi="Arial" w:cs="Arial"/>
          <w:bCs/>
          <w:sz w:val="24"/>
        </w:rPr>
        <w:t xml:space="preserve">porque los integrantes de FRENA con frecuencia nos manifestamos públicamente para </w:t>
      </w:r>
      <w:r w:rsidR="00824580">
        <w:rPr>
          <w:rFonts w:ascii="Arial" w:hAnsi="Arial" w:cs="Arial"/>
          <w:bCs/>
          <w:sz w:val="24"/>
        </w:rPr>
        <w:t xml:space="preserve">defender derechos humanos y </w:t>
      </w:r>
      <w:r>
        <w:rPr>
          <w:rFonts w:ascii="Arial" w:hAnsi="Arial" w:cs="Arial"/>
          <w:bCs/>
          <w:sz w:val="24"/>
        </w:rPr>
        <w:t>hacer notar los abusos del Titular del Ejecutivo Federal, por lo que estamos expuestos a actos de imposible reparación y que de no realizar una revisión Constitucional y Convencional, a conciencia, de las normas reclamadas mediante este amparo después podría ser demasiado tarde porque ya no podríamos promover un amparo privados de la vida,</w:t>
      </w:r>
      <w:r w:rsidR="00256AF8">
        <w:rPr>
          <w:rFonts w:ascii="Arial" w:hAnsi="Arial" w:cs="Arial"/>
          <w:bCs/>
          <w:sz w:val="24"/>
        </w:rPr>
        <w:t xml:space="preserve"> incomunicados o desaparecidos y un deber Constitucional del Estado según el artículo 1 es prevenir más violaciones a los derechos humanos, máxime que mediante las normas reclamadas ya se están violando como se demostrará en el capítulo de conceptos de violación.</w:t>
      </w:r>
    </w:p>
    <w:p w14:paraId="58996161" w14:textId="77777777" w:rsidR="00256AF8" w:rsidRPr="000F4452" w:rsidRDefault="00256AF8" w:rsidP="00256AF8">
      <w:pPr>
        <w:pStyle w:val="Sangradetextonormal"/>
        <w:spacing w:line="276" w:lineRule="auto"/>
        <w:rPr>
          <w:rFonts w:ascii="Arial" w:hAnsi="Arial" w:cs="Arial"/>
          <w:bCs/>
          <w:sz w:val="24"/>
        </w:rPr>
      </w:pPr>
      <w:r w:rsidRPr="000F4452">
        <w:rPr>
          <w:rFonts w:ascii="Arial" w:hAnsi="Arial" w:cs="Arial"/>
          <w:bCs/>
          <w:sz w:val="24"/>
        </w:rPr>
        <w:t>(Los hechos anteriores no es nuestro deseo señalarlos como actos reclamados, únicamente como un hecho notorio que evidencia peligro inminente)</w:t>
      </w:r>
    </w:p>
    <w:p w14:paraId="67F57507" w14:textId="77777777" w:rsidR="000F4452" w:rsidRDefault="000F4452" w:rsidP="003C39B4">
      <w:pPr>
        <w:pStyle w:val="Sangradetextonormal"/>
        <w:spacing w:line="276" w:lineRule="auto"/>
        <w:rPr>
          <w:rFonts w:ascii="Arial" w:hAnsi="Arial" w:cs="Arial"/>
          <w:b/>
          <w:bCs/>
          <w:sz w:val="24"/>
        </w:rPr>
      </w:pPr>
    </w:p>
    <w:p w14:paraId="75AA8EA2" w14:textId="627A5044" w:rsidR="00976D8E" w:rsidRDefault="002A06EC" w:rsidP="003C39B4">
      <w:pPr>
        <w:pStyle w:val="Sangradetextonormal"/>
        <w:spacing w:line="276" w:lineRule="auto"/>
        <w:rPr>
          <w:rFonts w:ascii="Arial" w:hAnsi="Arial" w:cs="Arial"/>
          <w:b/>
          <w:bCs/>
          <w:sz w:val="24"/>
        </w:rPr>
      </w:pPr>
      <w:r w:rsidRPr="00EF2874">
        <w:rPr>
          <w:rFonts w:ascii="Arial" w:hAnsi="Arial" w:cs="Arial"/>
          <w:b/>
          <w:bCs/>
          <w:sz w:val="24"/>
        </w:rPr>
        <w:t xml:space="preserve">VI.- </w:t>
      </w:r>
      <w:r w:rsidR="00E86A47">
        <w:rPr>
          <w:rFonts w:ascii="Arial" w:hAnsi="Arial" w:cs="Arial"/>
          <w:b/>
          <w:bCs/>
          <w:sz w:val="24"/>
        </w:rPr>
        <w:t>PROCEDENCIA DE LA DEMANDAD.</w:t>
      </w:r>
    </w:p>
    <w:p w14:paraId="384A190C" w14:textId="01E3BEA3" w:rsidR="007A5568" w:rsidRDefault="009E59BB" w:rsidP="00DB4F57">
      <w:pPr>
        <w:pStyle w:val="Sangradetextonormal"/>
        <w:spacing w:line="276" w:lineRule="auto"/>
        <w:rPr>
          <w:rFonts w:ascii="Arial" w:hAnsi="Arial" w:cs="Arial"/>
          <w:color w:val="000000"/>
          <w:sz w:val="24"/>
        </w:rPr>
      </w:pPr>
      <w:r>
        <w:rPr>
          <w:rFonts w:ascii="Arial" w:hAnsi="Arial" w:cs="Arial"/>
          <w:b/>
          <w:bCs/>
          <w:sz w:val="24"/>
        </w:rPr>
        <w:t xml:space="preserve">a) </w:t>
      </w:r>
      <w:r w:rsidRPr="009E59BB">
        <w:rPr>
          <w:rFonts w:ascii="Arial" w:hAnsi="Arial" w:cs="Arial"/>
          <w:b/>
          <w:bCs/>
          <w:sz w:val="24"/>
        </w:rPr>
        <w:t>Vía:</w:t>
      </w:r>
      <w:r>
        <w:rPr>
          <w:rFonts w:ascii="Arial" w:hAnsi="Arial" w:cs="Arial"/>
          <w:bCs/>
          <w:sz w:val="24"/>
        </w:rPr>
        <w:t xml:space="preserve"> </w:t>
      </w:r>
      <w:r w:rsidR="00012B0C" w:rsidRPr="00EF2874">
        <w:rPr>
          <w:rFonts w:ascii="Arial" w:hAnsi="Arial" w:cs="Arial"/>
          <w:bCs/>
          <w:sz w:val="24"/>
        </w:rPr>
        <w:t>L</w:t>
      </w:r>
      <w:r w:rsidR="00E32AD8" w:rsidRPr="00EF2874">
        <w:rPr>
          <w:rFonts w:ascii="Arial" w:hAnsi="Arial" w:cs="Arial"/>
          <w:bCs/>
          <w:sz w:val="24"/>
        </w:rPr>
        <w:t xml:space="preserve">a presente demanda </w:t>
      </w:r>
      <w:r w:rsidR="0044002B" w:rsidRPr="00EF2874">
        <w:rPr>
          <w:rFonts w:ascii="Arial" w:hAnsi="Arial" w:cs="Arial"/>
          <w:bCs/>
          <w:sz w:val="24"/>
        </w:rPr>
        <w:t xml:space="preserve">de amparo indirecto </w:t>
      </w:r>
      <w:r w:rsidR="00E32AD8" w:rsidRPr="00EF2874">
        <w:rPr>
          <w:rFonts w:ascii="Arial" w:hAnsi="Arial" w:cs="Arial"/>
          <w:bCs/>
          <w:sz w:val="24"/>
        </w:rPr>
        <w:t xml:space="preserve">es procedente de conformidad </w:t>
      </w:r>
      <w:r w:rsidR="00CE23C7">
        <w:rPr>
          <w:rFonts w:ascii="Arial" w:hAnsi="Arial" w:cs="Arial"/>
          <w:bCs/>
          <w:sz w:val="24"/>
        </w:rPr>
        <w:t xml:space="preserve">con el </w:t>
      </w:r>
      <w:r w:rsidR="00E32AD8" w:rsidRPr="00EF2874">
        <w:rPr>
          <w:rFonts w:ascii="Arial" w:hAnsi="Arial" w:cs="Arial"/>
          <w:bCs/>
          <w:sz w:val="24"/>
        </w:rPr>
        <w:t>artículo 107</w:t>
      </w:r>
      <w:r w:rsidR="00717CCC" w:rsidRPr="00EF2874">
        <w:rPr>
          <w:rFonts w:ascii="Arial" w:hAnsi="Arial" w:cs="Arial"/>
          <w:bCs/>
          <w:sz w:val="24"/>
        </w:rPr>
        <w:t xml:space="preserve">, fracción I </w:t>
      </w:r>
      <w:r w:rsidR="00E32AD8" w:rsidRPr="00EF2874">
        <w:rPr>
          <w:rFonts w:ascii="Arial" w:hAnsi="Arial" w:cs="Arial"/>
          <w:bCs/>
          <w:sz w:val="24"/>
        </w:rPr>
        <w:t>de la Ley de la materi</w:t>
      </w:r>
      <w:r w:rsidR="00CE23C7">
        <w:rPr>
          <w:rFonts w:ascii="Arial" w:hAnsi="Arial" w:cs="Arial"/>
          <w:bCs/>
          <w:sz w:val="24"/>
        </w:rPr>
        <w:t>a, toda vez que se reclama una norma general de forma autoaplicativa</w:t>
      </w:r>
      <w:r w:rsidR="00DB4F57">
        <w:rPr>
          <w:rFonts w:ascii="Arial" w:hAnsi="Arial" w:cs="Arial"/>
          <w:bCs/>
          <w:sz w:val="24"/>
        </w:rPr>
        <w:t xml:space="preserve"> que </w:t>
      </w:r>
      <w:r w:rsidR="00583618" w:rsidRPr="00583618">
        <w:rPr>
          <w:rFonts w:ascii="Arial" w:hAnsi="Arial" w:cs="Arial"/>
          <w:color w:val="000000"/>
          <w:sz w:val="24"/>
        </w:rPr>
        <w:t>contiene lineamientos o d</w:t>
      </w:r>
      <w:r w:rsidR="007A5568">
        <w:rPr>
          <w:rFonts w:ascii="Arial" w:hAnsi="Arial" w:cs="Arial"/>
          <w:color w:val="000000"/>
          <w:sz w:val="24"/>
        </w:rPr>
        <w:t>irectrices en forma obligatoria</w:t>
      </w:r>
      <w:r w:rsidR="00583618" w:rsidRPr="00583618">
        <w:rPr>
          <w:rFonts w:ascii="Arial" w:hAnsi="Arial" w:cs="Arial"/>
          <w:color w:val="000000"/>
          <w:sz w:val="24"/>
        </w:rPr>
        <w:t xml:space="preserve"> desde el inicio de su vigencia</w:t>
      </w:r>
      <w:r w:rsidR="00583618">
        <w:rPr>
          <w:rFonts w:ascii="Arial" w:hAnsi="Arial" w:cs="Arial"/>
          <w:color w:val="000000"/>
          <w:sz w:val="24"/>
        </w:rPr>
        <w:t>.</w:t>
      </w:r>
    </w:p>
    <w:p w14:paraId="27508965" w14:textId="77777777" w:rsidR="001166A5" w:rsidRDefault="001166A5" w:rsidP="00DB4F57">
      <w:pPr>
        <w:pStyle w:val="Sangradetextonormal"/>
        <w:spacing w:line="276" w:lineRule="auto"/>
        <w:rPr>
          <w:rFonts w:ascii="Arial" w:hAnsi="Arial" w:cs="Arial"/>
          <w:color w:val="000000"/>
          <w:sz w:val="24"/>
        </w:rPr>
      </w:pPr>
    </w:p>
    <w:p w14:paraId="00087B4F" w14:textId="3FE84AB8" w:rsidR="002D695D" w:rsidRDefault="009E59BB" w:rsidP="00DB4F57">
      <w:pPr>
        <w:pStyle w:val="Sangradetextonormal"/>
        <w:spacing w:line="276" w:lineRule="auto"/>
        <w:rPr>
          <w:rFonts w:ascii="Arial" w:hAnsi="Arial" w:cs="Arial"/>
          <w:sz w:val="24"/>
        </w:rPr>
      </w:pPr>
      <w:r>
        <w:rPr>
          <w:rFonts w:ascii="Arial" w:hAnsi="Arial" w:cs="Arial"/>
          <w:b/>
          <w:bCs/>
          <w:sz w:val="24"/>
        </w:rPr>
        <w:t xml:space="preserve">b) Oportunidad: </w:t>
      </w:r>
      <w:r w:rsidR="00583618">
        <w:rPr>
          <w:rFonts w:ascii="Arial" w:hAnsi="Arial" w:cs="Arial"/>
          <w:color w:val="000000"/>
          <w:sz w:val="24"/>
        </w:rPr>
        <w:t>Además,</w:t>
      </w:r>
      <w:r w:rsidR="004B5B9A">
        <w:rPr>
          <w:rFonts w:ascii="Arial" w:hAnsi="Arial" w:cs="Arial"/>
          <w:color w:val="000000"/>
          <w:sz w:val="24"/>
        </w:rPr>
        <w:t xml:space="preserve"> la</w:t>
      </w:r>
      <w:r w:rsidR="00583618">
        <w:rPr>
          <w:rFonts w:ascii="Arial" w:hAnsi="Arial" w:cs="Arial"/>
          <w:color w:val="000000"/>
          <w:sz w:val="24"/>
        </w:rPr>
        <w:t xml:space="preserve"> demanda </w:t>
      </w:r>
      <w:r w:rsidR="002753C6" w:rsidRPr="00583618">
        <w:rPr>
          <w:rFonts w:ascii="Arial" w:hAnsi="Arial" w:cs="Arial"/>
          <w:bCs/>
          <w:sz w:val="24"/>
        </w:rPr>
        <w:t>fue</w:t>
      </w:r>
      <w:r w:rsidR="00CE23C7" w:rsidRPr="00EF2874">
        <w:rPr>
          <w:rFonts w:ascii="Arial" w:hAnsi="Arial" w:cs="Arial"/>
          <w:bCs/>
          <w:sz w:val="24"/>
        </w:rPr>
        <w:t xml:space="preserve"> presentada oportunamente dentro del plazo </w:t>
      </w:r>
      <w:r w:rsidR="00DB4F57">
        <w:rPr>
          <w:rFonts w:ascii="Arial" w:hAnsi="Arial" w:cs="Arial"/>
          <w:bCs/>
          <w:sz w:val="24"/>
        </w:rPr>
        <w:t xml:space="preserve">de treinta días hábiles </w:t>
      </w:r>
      <w:r w:rsidR="00CE23C7" w:rsidRPr="00EF2874">
        <w:rPr>
          <w:rFonts w:ascii="Arial" w:hAnsi="Arial" w:cs="Arial"/>
          <w:bCs/>
          <w:sz w:val="24"/>
        </w:rPr>
        <w:t xml:space="preserve">contemplado </w:t>
      </w:r>
      <w:r w:rsidR="00DB4F57">
        <w:rPr>
          <w:rFonts w:ascii="Arial" w:hAnsi="Arial" w:cs="Arial"/>
          <w:bCs/>
          <w:sz w:val="24"/>
        </w:rPr>
        <w:t>en</w:t>
      </w:r>
      <w:r w:rsidR="002D695D">
        <w:rPr>
          <w:rFonts w:ascii="Arial" w:hAnsi="Arial" w:cs="Arial"/>
          <w:sz w:val="24"/>
        </w:rPr>
        <w:t xml:space="preserve"> el artículo 17, fracción I, de la Ley de Amparo</w:t>
      </w:r>
      <w:r w:rsidR="006F5142">
        <w:rPr>
          <w:rFonts w:ascii="Arial" w:hAnsi="Arial" w:cs="Arial"/>
          <w:sz w:val="24"/>
        </w:rPr>
        <w:t xml:space="preserve"> que</w:t>
      </w:r>
      <w:r w:rsidR="002D695D">
        <w:rPr>
          <w:rFonts w:ascii="Arial" w:hAnsi="Arial" w:cs="Arial"/>
          <w:sz w:val="24"/>
        </w:rPr>
        <w:t xml:space="preserve"> establece que el plazo cuando se reclame una norma general autoaplicativa será de </w:t>
      </w:r>
      <w:r w:rsidR="002D695D" w:rsidRPr="000B7BCE">
        <w:rPr>
          <w:rFonts w:ascii="Arial" w:hAnsi="Arial" w:cs="Arial"/>
          <w:sz w:val="24"/>
          <w:u w:val="single"/>
        </w:rPr>
        <w:t>treinta días</w:t>
      </w:r>
      <w:r w:rsidR="002D695D">
        <w:rPr>
          <w:rFonts w:ascii="Arial" w:hAnsi="Arial" w:cs="Arial"/>
          <w:sz w:val="24"/>
        </w:rPr>
        <w:t xml:space="preserve">. Los cuales deben ser hábiles porque el artículo 19 de la Ley de Amparo considera que </w:t>
      </w:r>
      <w:r w:rsidR="002D695D" w:rsidRPr="000B7BCE">
        <w:rPr>
          <w:rFonts w:ascii="Arial" w:hAnsi="Arial" w:cs="Arial"/>
          <w:sz w:val="24"/>
          <w:u w:val="single"/>
        </w:rPr>
        <w:t xml:space="preserve">son días hábiles para la </w:t>
      </w:r>
      <w:r w:rsidR="002D695D" w:rsidRPr="00557110">
        <w:rPr>
          <w:rFonts w:ascii="Arial" w:hAnsi="Arial" w:cs="Arial"/>
          <w:b/>
          <w:sz w:val="24"/>
          <w:u w:val="single"/>
        </w:rPr>
        <w:t>promoción</w:t>
      </w:r>
      <w:r w:rsidR="002D695D" w:rsidRPr="000B7BCE">
        <w:rPr>
          <w:rFonts w:ascii="Arial" w:hAnsi="Arial" w:cs="Arial"/>
          <w:sz w:val="24"/>
          <w:u w:val="single"/>
        </w:rPr>
        <w:t xml:space="preserve"> de los juicios de amparo</w:t>
      </w:r>
      <w:r w:rsidR="002D695D">
        <w:rPr>
          <w:rFonts w:ascii="Arial" w:hAnsi="Arial" w:cs="Arial"/>
          <w:sz w:val="24"/>
        </w:rPr>
        <w:t xml:space="preserve"> todos los del año, </w:t>
      </w:r>
      <w:r w:rsidR="002D695D" w:rsidRPr="000B7BCE">
        <w:rPr>
          <w:rFonts w:ascii="Arial" w:hAnsi="Arial" w:cs="Arial"/>
          <w:sz w:val="24"/>
        </w:rPr>
        <w:t xml:space="preserve">con excepción de los </w:t>
      </w:r>
      <w:r w:rsidR="002D695D" w:rsidRPr="009A357C">
        <w:rPr>
          <w:rFonts w:ascii="Arial" w:hAnsi="Arial" w:cs="Arial"/>
          <w:b/>
          <w:sz w:val="24"/>
          <w:u w:val="single"/>
        </w:rPr>
        <w:t>sábados y domingos</w:t>
      </w:r>
      <w:r w:rsidR="002D695D" w:rsidRPr="000B7BCE">
        <w:rPr>
          <w:rFonts w:ascii="Arial" w:hAnsi="Arial" w:cs="Arial"/>
          <w:sz w:val="24"/>
        </w:rPr>
        <w:t xml:space="preserve">, uno de enero, cinco de febrero, veintiuno de marzo, uno y cinco de mayo, </w:t>
      </w:r>
      <w:r w:rsidR="002D695D" w:rsidRPr="009A357C">
        <w:rPr>
          <w:rFonts w:ascii="Arial" w:hAnsi="Arial" w:cs="Arial"/>
          <w:b/>
          <w:sz w:val="24"/>
          <w:u w:val="single"/>
        </w:rPr>
        <w:t>catorce y dieciséis de septiembre</w:t>
      </w:r>
      <w:r w:rsidR="002D695D" w:rsidRPr="000B7BCE">
        <w:rPr>
          <w:rFonts w:ascii="Arial" w:hAnsi="Arial" w:cs="Arial"/>
          <w:sz w:val="24"/>
        </w:rPr>
        <w:t xml:space="preserve">, </w:t>
      </w:r>
      <w:r w:rsidR="002D695D" w:rsidRPr="009A357C">
        <w:rPr>
          <w:rFonts w:ascii="Arial" w:hAnsi="Arial" w:cs="Arial"/>
          <w:b/>
          <w:sz w:val="24"/>
          <w:u w:val="single"/>
        </w:rPr>
        <w:t>doce de octubre</w:t>
      </w:r>
      <w:r w:rsidR="002D695D" w:rsidRPr="000B7BCE">
        <w:rPr>
          <w:rFonts w:ascii="Arial" w:hAnsi="Arial" w:cs="Arial"/>
          <w:sz w:val="24"/>
        </w:rPr>
        <w:t xml:space="preserve">, veinte de noviembre y veinticinco de diciembre, así como </w:t>
      </w:r>
      <w:r w:rsidR="002D695D" w:rsidRPr="009A357C">
        <w:rPr>
          <w:rFonts w:ascii="Arial" w:hAnsi="Arial" w:cs="Arial"/>
          <w:b/>
          <w:sz w:val="24"/>
          <w:u w:val="single"/>
        </w:rPr>
        <w:t>aquellos en que se suspendan las labores</w:t>
      </w:r>
      <w:r w:rsidR="002D695D" w:rsidRPr="000B7BCE">
        <w:rPr>
          <w:rFonts w:ascii="Arial" w:hAnsi="Arial" w:cs="Arial"/>
          <w:sz w:val="24"/>
        </w:rPr>
        <w:t xml:space="preserve"> en el órgano jurisdiccional ante el cual se tramite el juicio de amparo, o cuando no pueda funcionar por causa de fuerza mayor</w:t>
      </w:r>
      <w:r w:rsidR="002D695D">
        <w:rPr>
          <w:rFonts w:ascii="Arial" w:hAnsi="Arial" w:cs="Arial"/>
          <w:sz w:val="24"/>
        </w:rPr>
        <w:t>.</w:t>
      </w:r>
    </w:p>
    <w:p w14:paraId="0CFE6153" w14:textId="4A7B2C98" w:rsidR="002E1FE6" w:rsidRPr="009B7EEB" w:rsidRDefault="006F5142" w:rsidP="00557110">
      <w:pPr>
        <w:shd w:val="clear" w:color="auto" w:fill="FFFFFF" w:themeFill="background1"/>
        <w:ind w:firstLine="567"/>
        <w:jc w:val="both"/>
        <w:rPr>
          <w:rStyle w:val="Hipervnculo"/>
          <w:rFonts w:ascii="Arial" w:hAnsi="Arial" w:cs="Arial"/>
          <w:sz w:val="24"/>
          <w:szCs w:val="24"/>
        </w:rPr>
      </w:pPr>
      <w:r w:rsidRPr="006F5142">
        <w:rPr>
          <w:rFonts w:ascii="Arial" w:hAnsi="Arial" w:cs="Arial"/>
          <w:sz w:val="24"/>
          <w:szCs w:val="24"/>
        </w:rPr>
        <w:t>De tal manera que fueron inhábiles para los efectos del cómputo los días 10, 11, 14, 15, 16, 17, 18, 24 y 25 de septiembre, 1, 2, 8, 9, 12, 15, 16, 22 y 23 de octubre todos de 2022.</w:t>
      </w:r>
      <w:r>
        <w:rPr>
          <w:rFonts w:ascii="Arial" w:hAnsi="Arial" w:cs="Arial"/>
          <w:sz w:val="24"/>
          <w:szCs w:val="24"/>
        </w:rPr>
        <w:t xml:space="preserve"> El día 15 fue</w:t>
      </w:r>
      <w:r w:rsidR="002E1FE6" w:rsidRPr="009B7EEB">
        <w:rPr>
          <w:rFonts w:ascii="Arial" w:hAnsi="Arial" w:cs="Arial"/>
          <w:sz w:val="24"/>
          <w:szCs w:val="24"/>
        </w:rPr>
        <w:t xml:space="preserve"> declarado inhábil por la Circular 5/2022 Pleno del Consejo de la Judicatura Federal de fecha 30/03/2022.</w:t>
      </w:r>
      <w:r w:rsidR="002E1FE6" w:rsidRPr="009B7EEB">
        <w:rPr>
          <w:sz w:val="24"/>
          <w:szCs w:val="24"/>
        </w:rPr>
        <w:t xml:space="preserve"> </w:t>
      </w:r>
      <w:hyperlink r:id="rId12" w:history="1">
        <w:r w:rsidR="002E1FE6" w:rsidRPr="009B7EEB">
          <w:rPr>
            <w:rStyle w:val="Hipervnculo"/>
            <w:rFonts w:ascii="Arial" w:hAnsi="Arial" w:cs="Arial"/>
            <w:sz w:val="24"/>
            <w:szCs w:val="24"/>
          </w:rPr>
          <w:t>https://www.cjf.gob.mx/transparencia/paginas/diasinhabiles.htm</w:t>
        </w:r>
      </w:hyperlink>
    </w:p>
    <w:p w14:paraId="701B8645" w14:textId="0A295583" w:rsidR="00CB442D" w:rsidRDefault="006F5142" w:rsidP="004E13B9">
      <w:pPr>
        <w:pStyle w:val="Sangradetextonormal"/>
        <w:spacing w:line="276" w:lineRule="auto"/>
        <w:ind w:firstLine="567"/>
        <w:rPr>
          <w:rFonts w:ascii="Arial" w:hAnsi="Arial" w:cs="Arial"/>
          <w:sz w:val="24"/>
        </w:rPr>
      </w:pPr>
      <w:r>
        <w:rPr>
          <w:rFonts w:ascii="Arial" w:hAnsi="Arial" w:cs="Arial"/>
          <w:sz w:val="24"/>
        </w:rPr>
        <w:t>Ahora bien, lo anterior es así porque la norma reclamada fue publicada en el Diario Oficial de la Federación el viernes nueve de septiembre de dos mil veintidós, y entro en vigor al día siguiente de su publicación, esto es, el sábado diez de septiembre del mismo año, sin embargo,</w:t>
      </w:r>
      <w:r w:rsidR="009B7EEB" w:rsidRPr="009B7EEB">
        <w:rPr>
          <w:rFonts w:ascii="Arial" w:hAnsi="Arial" w:cs="Arial"/>
          <w:sz w:val="24"/>
        </w:rPr>
        <w:t xml:space="preserve"> cuando el plazo para impugnarlas inicia en dí</w:t>
      </w:r>
      <w:r>
        <w:rPr>
          <w:rFonts w:ascii="Arial" w:hAnsi="Arial" w:cs="Arial"/>
          <w:sz w:val="24"/>
        </w:rPr>
        <w:t>a inhábil, no debe contarse, por lo que el inició del cómputo comienza hasta el lunes doce de septiembre de la presente anualidad, de conformidad con la</w:t>
      </w:r>
      <w:r w:rsidR="00CB442D">
        <w:rPr>
          <w:rFonts w:ascii="Arial" w:hAnsi="Arial" w:cs="Arial"/>
          <w:sz w:val="24"/>
        </w:rPr>
        <w:t>s</w:t>
      </w:r>
      <w:r>
        <w:rPr>
          <w:rFonts w:ascii="Arial" w:hAnsi="Arial" w:cs="Arial"/>
          <w:sz w:val="24"/>
        </w:rPr>
        <w:t xml:space="preserve"> tesis</w:t>
      </w:r>
      <w:r w:rsidR="004E13B9">
        <w:rPr>
          <w:rFonts w:ascii="Arial" w:hAnsi="Arial" w:cs="Arial"/>
          <w:sz w:val="24"/>
        </w:rPr>
        <w:t xml:space="preserve"> con número de </w:t>
      </w:r>
      <w:r w:rsidR="004E13B9" w:rsidRPr="004E13B9">
        <w:rPr>
          <w:rFonts w:ascii="Arial" w:hAnsi="Arial" w:cs="Arial"/>
          <w:sz w:val="24"/>
        </w:rPr>
        <w:t>registro 193923</w:t>
      </w:r>
      <w:r w:rsidR="00CB442D">
        <w:rPr>
          <w:rFonts w:ascii="Arial" w:hAnsi="Arial" w:cs="Arial"/>
          <w:sz w:val="24"/>
        </w:rPr>
        <w:t xml:space="preserve"> y </w:t>
      </w:r>
      <w:r w:rsidR="00CB442D" w:rsidRPr="00CB442D">
        <w:rPr>
          <w:rFonts w:ascii="Arial" w:hAnsi="Arial" w:cs="Arial"/>
          <w:sz w:val="24"/>
        </w:rPr>
        <w:t>258167</w:t>
      </w:r>
      <w:r w:rsidRPr="004E13B9">
        <w:rPr>
          <w:rFonts w:ascii="Arial" w:hAnsi="Arial" w:cs="Arial"/>
          <w:sz w:val="24"/>
        </w:rPr>
        <w:t>:</w:t>
      </w:r>
      <w:r w:rsidR="004E13B9">
        <w:rPr>
          <w:rFonts w:ascii="Arial" w:hAnsi="Arial" w:cs="Arial"/>
          <w:sz w:val="24"/>
        </w:rPr>
        <w:t xml:space="preserve"> </w:t>
      </w:r>
    </w:p>
    <w:p w14:paraId="370F478A" w14:textId="77777777" w:rsidR="00CB442D" w:rsidRDefault="00CB442D" w:rsidP="003163AE">
      <w:pPr>
        <w:pStyle w:val="Sangradetextonormal"/>
        <w:spacing w:line="276" w:lineRule="auto"/>
        <w:ind w:left="567" w:firstLine="567"/>
        <w:rPr>
          <w:rFonts w:ascii="Arial" w:hAnsi="Arial" w:cs="Arial"/>
          <w:sz w:val="24"/>
        </w:rPr>
      </w:pPr>
    </w:p>
    <w:p w14:paraId="44CC3CF4" w14:textId="6AFAEAD1" w:rsidR="004E13B9" w:rsidRPr="00534C86" w:rsidRDefault="004E13B9" w:rsidP="003163AE">
      <w:pPr>
        <w:pStyle w:val="Sangradetextonormal"/>
        <w:spacing w:line="276" w:lineRule="auto"/>
        <w:ind w:left="567" w:firstLine="0"/>
        <w:rPr>
          <w:rFonts w:ascii="Arial" w:hAnsi="Arial" w:cs="Arial"/>
          <w:i/>
          <w:sz w:val="22"/>
        </w:rPr>
      </w:pPr>
      <w:r w:rsidRPr="00534C86">
        <w:rPr>
          <w:rFonts w:ascii="Arial" w:hAnsi="Arial" w:cs="Arial"/>
          <w:b/>
          <w:i/>
          <w:sz w:val="22"/>
        </w:rPr>
        <w:lastRenderedPageBreak/>
        <w:t>“LEYES AUTOAPLICATIVAS. CUANDO EL PLAZO PARA IMPUGNARLAS INICIA EN DÍA INHÁBIL, NO DEBE CONTARSE ÉSTE</w:t>
      </w:r>
      <w:r w:rsidRPr="00534C86">
        <w:rPr>
          <w:rFonts w:ascii="Arial" w:hAnsi="Arial" w:cs="Arial"/>
          <w:i/>
          <w:sz w:val="22"/>
        </w:rPr>
        <w:t>.”</w:t>
      </w:r>
      <w:r w:rsidRPr="00534C86">
        <w:rPr>
          <w:rStyle w:val="Refdenotaalpie"/>
          <w:rFonts w:ascii="Arial" w:hAnsi="Arial" w:cs="Arial"/>
          <w:i/>
          <w:sz w:val="22"/>
        </w:rPr>
        <w:footnoteReference w:id="9"/>
      </w:r>
    </w:p>
    <w:p w14:paraId="60385D76" w14:textId="77777777" w:rsidR="00CB442D" w:rsidRPr="00534C86" w:rsidRDefault="00CB442D" w:rsidP="003163AE">
      <w:pPr>
        <w:pStyle w:val="Sangradetextonormal"/>
        <w:spacing w:line="276" w:lineRule="auto"/>
        <w:ind w:left="567" w:firstLine="567"/>
        <w:rPr>
          <w:rFonts w:ascii="Arial" w:hAnsi="Arial" w:cs="Arial"/>
          <w:i/>
          <w:sz w:val="22"/>
        </w:rPr>
      </w:pPr>
    </w:p>
    <w:p w14:paraId="00DC5F9B" w14:textId="3F9596C5" w:rsidR="00CB442D" w:rsidRPr="00534C86" w:rsidRDefault="003163AE" w:rsidP="003163AE">
      <w:pPr>
        <w:pStyle w:val="Sangradetextonormal"/>
        <w:ind w:left="567" w:firstLine="0"/>
        <w:rPr>
          <w:rFonts w:ascii="Arial" w:hAnsi="Arial" w:cs="Arial"/>
          <w:i/>
          <w:sz w:val="22"/>
        </w:rPr>
      </w:pPr>
      <w:r w:rsidRPr="00534C86">
        <w:rPr>
          <w:rFonts w:ascii="Arial" w:hAnsi="Arial" w:cs="Arial"/>
          <w:b/>
          <w:i/>
          <w:sz w:val="22"/>
        </w:rPr>
        <w:t>“</w:t>
      </w:r>
      <w:r w:rsidR="00CB442D" w:rsidRPr="00534C86">
        <w:rPr>
          <w:rFonts w:ascii="Arial" w:hAnsi="Arial" w:cs="Arial"/>
          <w:b/>
          <w:i/>
          <w:sz w:val="22"/>
        </w:rPr>
        <w:t>LEYES AUTOAPLICATIVAS, OPORTUNIDAD PARA INTERPONER EL AMPARO.</w:t>
      </w:r>
      <w:r w:rsidR="00CB442D" w:rsidRPr="00534C86">
        <w:rPr>
          <w:rFonts w:ascii="Arial" w:hAnsi="Arial" w:cs="Arial"/>
          <w:i/>
          <w:sz w:val="22"/>
        </w:rPr>
        <w:t xml:space="preserve"> A partir de las reformas hechas a la Ley de Amparo por decreto de 30 de diciembre de 1950, son dos oportunidades las que tienen los interesados para impugnar leyes de carácter </w:t>
      </w:r>
      <w:proofErr w:type="spellStart"/>
      <w:r w:rsidR="00CB442D" w:rsidRPr="00534C86">
        <w:rPr>
          <w:rFonts w:ascii="Arial" w:hAnsi="Arial" w:cs="Arial"/>
          <w:i/>
          <w:sz w:val="22"/>
        </w:rPr>
        <w:t>autoaplicativo</w:t>
      </w:r>
      <w:proofErr w:type="spellEnd"/>
      <w:r w:rsidR="00CB442D" w:rsidRPr="00534C86">
        <w:rPr>
          <w:rFonts w:ascii="Arial" w:hAnsi="Arial" w:cs="Arial"/>
          <w:i/>
          <w:sz w:val="22"/>
        </w:rPr>
        <w:t xml:space="preserve">, a saber: los </w:t>
      </w:r>
      <w:r w:rsidR="00CB442D" w:rsidRPr="00534C86">
        <w:rPr>
          <w:rFonts w:ascii="Arial" w:hAnsi="Arial" w:cs="Arial"/>
          <w:b/>
          <w:i/>
          <w:sz w:val="22"/>
          <w:u w:val="single"/>
        </w:rPr>
        <w:t>treinta primeros días hábiles</w:t>
      </w:r>
      <w:r w:rsidR="00CB442D" w:rsidRPr="00534C86">
        <w:rPr>
          <w:rFonts w:ascii="Arial" w:hAnsi="Arial" w:cs="Arial"/>
          <w:i/>
          <w:sz w:val="22"/>
        </w:rPr>
        <w:t xml:space="preserve"> de la vigencia de la ley, y además, los quince días siguientes al del primer acto de aplicación de la norma en perjuicio del quejoso</w:t>
      </w:r>
      <w:r w:rsidRPr="00534C86">
        <w:rPr>
          <w:rFonts w:ascii="Arial" w:hAnsi="Arial" w:cs="Arial"/>
          <w:i/>
          <w:sz w:val="22"/>
        </w:rPr>
        <w:t>”</w:t>
      </w:r>
      <w:r w:rsidR="00CB442D" w:rsidRPr="00534C86">
        <w:rPr>
          <w:rStyle w:val="Refdenotaalpie"/>
          <w:rFonts w:ascii="Arial" w:hAnsi="Arial" w:cs="Arial"/>
          <w:i/>
          <w:sz w:val="22"/>
        </w:rPr>
        <w:footnoteReference w:id="10"/>
      </w:r>
      <w:r w:rsidR="00CC0DD7" w:rsidRPr="00534C86">
        <w:rPr>
          <w:rFonts w:ascii="Arial" w:hAnsi="Arial" w:cs="Arial"/>
          <w:i/>
          <w:sz w:val="22"/>
        </w:rPr>
        <w:t>.</w:t>
      </w:r>
    </w:p>
    <w:p w14:paraId="7AA66CB8" w14:textId="276C289D" w:rsidR="00284A6C" w:rsidRDefault="00CC0DD7" w:rsidP="006D11C2">
      <w:pPr>
        <w:pStyle w:val="Sangradetextonormal"/>
        <w:spacing w:line="276" w:lineRule="auto"/>
        <w:ind w:firstLine="567"/>
        <w:rPr>
          <w:rFonts w:ascii="Arial" w:hAnsi="Arial" w:cs="Arial"/>
          <w:sz w:val="24"/>
        </w:rPr>
      </w:pPr>
      <w:r>
        <w:rPr>
          <w:rFonts w:ascii="Arial" w:hAnsi="Arial" w:cs="Arial"/>
          <w:sz w:val="24"/>
        </w:rPr>
        <w:t>Siendo el último día para interponer la demanda el día 27 veintisiete de octubre del año en curso. T</w:t>
      </w:r>
      <w:r w:rsidR="004E13B9">
        <w:rPr>
          <w:rFonts w:ascii="Arial" w:hAnsi="Arial" w:cs="Arial"/>
          <w:sz w:val="24"/>
        </w:rPr>
        <w:t>ambién s</w:t>
      </w:r>
      <w:r w:rsidR="009B7EEB" w:rsidRPr="009B7EEB">
        <w:rPr>
          <w:rFonts w:ascii="Arial" w:hAnsi="Arial" w:cs="Arial"/>
          <w:sz w:val="24"/>
        </w:rPr>
        <w:t>irven de ilustración a lo anterior las siguientes tablas:</w:t>
      </w:r>
      <w:r w:rsidR="00824580">
        <w:rPr>
          <w:rFonts w:ascii="Arial" w:hAnsi="Arial" w:cs="Arial"/>
          <w:sz w:val="24"/>
        </w:rPr>
        <w:t xml:space="preserve"> </w:t>
      </w:r>
    </w:p>
    <w:tbl>
      <w:tblPr>
        <w:tblStyle w:val="Tablaconcuadrcula"/>
        <w:tblpPr w:leftFromText="141" w:rightFromText="141" w:vertAnchor="text" w:horzAnchor="page" w:tblpX="2053" w:tblpY="70"/>
        <w:tblW w:w="8188" w:type="dxa"/>
        <w:tblLayout w:type="fixed"/>
        <w:tblLook w:val="04A0" w:firstRow="1" w:lastRow="0" w:firstColumn="1" w:lastColumn="0" w:noHBand="0" w:noVBand="1"/>
      </w:tblPr>
      <w:tblGrid>
        <w:gridCol w:w="959"/>
        <w:gridCol w:w="1134"/>
        <w:gridCol w:w="1134"/>
        <w:gridCol w:w="1276"/>
        <w:gridCol w:w="1417"/>
        <w:gridCol w:w="1134"/>
        <w:gridCol w:w="1134"/>
      </w:tblGrid>
      <w:tr w:rsidR="00DB4B2E" w14:paraId="0C092410" w14:textId="77777777" w:rsidTr="00DB4B2E">
        <w:trPr>
          <w:trHeight w:val="567"/>
        </w:trPr>
        <w:tc>
          <w:tcPr>
            <w:tcW w:w="8188" w:type="dxa"/>
            <w:gridSpan w:val="7"/>
            <w:shd w:val="clear" w:color="auto" w:fill="DBE5F1" w:themeFill="accent1" w:themeFillTint="33"/>
          </w:tcPr>
          <w:p w14:paraId="1F1BE411" w14:textId="77777777" w:rsidR="00DB4B2E" w:rsidRPr="007A53BF" w:rsidRDefault="00DB4B2E" w:rsidP="00DB4B2E">
            <w:pPr>
              <w:jc w:val="center"/>
              <w:rPr>
                <w:rFonts w:ascii="Arial" w:hAnsi="Arial" w:cs="Arial"/>
                <w:b/>
                <w:sz w:val="24"/>
              </w:rPr>
            </w:pPr>
            <w:r>
              <w:br w:type="page"/>
            </w:r>
            <w:r w:rsidRPr="007A53BF">
              <w:rPr>
                <w:rFonts w:ascii="Arial" w:hAnsi="Arial" w:cs="Arial"/>
                <w:b/>
                <w:sz w:val="24"/>
              </w:rPr>
              <w:t>SEPTIEMBRE</w:t>
            </w:r>
          </w:p>
        </w:tc>
      </w:tr>
      <w:tr w:rsidR="00DB4B2E" w14:paraId="4C4D9A9C" w14:textId="77777777" w:rsidTr="00225943">
        <w:trPr>
          <w:trHeight w:val="567"/>
        </w:trPr>
        <w:tc>
          <w:tcPr>
            <w:tcW w:w="959" w:type="dxa"/>
          </w:tcPr>
          <w:p w14:paraId="55B94304" w14:textId="77777777" w:rsidR="00DB4B2E" w:rsidRDefault="00DB4B2E" w:rsidP="00DB4B2E">
            <w:pPr>
              <w:rPr>
                <w:rFonts w:ascii="Arial" w:hAnsi="Arial" w:cs="Arial"/>
                <w:sz w:val="24"/>
              </w:rPr>
            </w:pPr>
            <w:r>
              <w:rPr>
                <w:rFonts w:ascii="Arial" w:hAnsi="Arial" w:cs="Arial"/>
                <w:sz w:val="24"/>
              </w:rPr>
              <w:t>D</w:t>
            </w:r>
          </w:p>
        </w:tc>
        <w:tc>
          <w:tcPr>
            <w:tcW w:w="1134" w:type="dxa"/>
          </w:tcPr>
          <w:p w14:paraId="3F4CDC0D" w14:textId="77777777" w:rsidR="00DB4B2E" w:rsidRDefault="00DB4B2E" w:rsidP="00DB4B2E">
            <w:pPr>
              <w:rPr>
                <w:rFonts w:ascii="Arial" w:hAnsi="Arial" w:cs="Arial"/>
                <w:sz w:val="24"/>
              </w:rPr>
            </w:pPr>
            <w:r>
              <w:rPr>
                <w:rFonts w:ascii="Arial" w:hAnsi="Arial" w:cs="Arial"/>
                <w:sz w:val="24"/>
              </w:rPr>
              <w:t>L</w:t>
            </w:r>
          </w:p>
        </w:tc>
        <w:tc>
          <w:tcPr>
            <w:tcW w:w="1134" w:type="dxa"/>
          </w:tcPr>
          <w:p w14:paraId="02A2B246" w14:textId="77777777" w:rsidR="00DB4B2E" w:rsidRDefault="00DB4B2E" w:rsidP="00DB4B2E">
            <w:pPr>
              <w:rPr>
                <w:rFonts w:ascii="Arial" w:hAnsi="Arial" w:cs="Arial"/>
                <w:sz w:val="24"/>
              </w:rPr>
            </w:pPr>
            <w:r>
              <w:rPr>
                <w:rFonts w:ascii="Arial" w:hAnsi="Arial" w:cs="Arial"/>
                <w:sz w:val="24"/>
              </w:rPr>
              <w:t>M</w:t>
            </w:r>
          </w:p>
        </w:tc>
        <w:tc>
          <w:tcPr>
            <w:tcW w:w="1276" w:type="dxa"/>
          </w:tcPr>
          <w:p w14:paraId="369DC8D9" w14:textId="77777777" w:rsidR="00DB4B2E" w:rsidRDefault="00DB4B2E" w:rsidP="00DB4B2E">
            <w:pPr>
              <w:rPr>
                <w:rFonts w:ascii="Arial" w:hAnsi="Arial" w:cs="Arial"/>
                <w:sz w:val="24"/>
              </w:rPr>
            </w:pPr>
            <w:r>
              <w:rPr>
                <w:rFonts w:ascii="Arial" w:hAnsi="Arial" w:cs="Arial"/>
                <w:sz w:val="24"/>
              </w:rPr>
              <w:t>M</w:t>
            </w:r>
          </w:p>
        </w:tc>
        <w:tc>
          <w:tcPr>
            <w:tcW w:w="1417" w:type="dxa"/>
          </w:tcPr>
          <w:p w14:paraId="5E2F071F" w14:textId="77777777" w:rsidR="00DB4B2E" w:rsidRDefault="00DB4B2E" w:rsidP="00DB4B2E">
            <w:pPr>
              <w:rPr>
                <w:rFonts w:ascii="Arial" w:hAnsi="Arial" w:cs="Arial"/>
                <w:sz w:val="24"/>
              </w:rPr>
            </w:pPr>
            <w:r>
              <w:rPr>
                <w:rFonts w:ascii="Arial" w:hAnsi="Arial" w:cs="Arial"/>
                <w:sz w:val="24"/>
              </w:rPr>
              <w:t>J</w:t>
            </w:r>
          </w:p>
        </w:tc>
        <w:tc>
          <w:tcPr>
            <w:tcW w:w="1134" w:type="dxa"/>
          </w:tcPr>
          <w:p w14:paraId="4D311C62" w14:textId="77777777" w:rsidR="00DB4B2E" w:rsidRDefault="00DB4B2E" w:rsidP="00DB4B2E">
            <w:pPr>
              <w:rPr>
                <w:rFonts w:ascii="Arial" w:hAnsi="Arial" w:cs="Arial"/>
                <w:sz w:val="24"/>
              </w:rPr>
            </w:pPr>
            <w:r>
              <w:rPr>
                <w:rFonts w:ascii="Arial" w:hAnsi="Arial" w:cs="Arial"/>
                <w:sz w:val="24"/>
              </w:rPr>
              <w:t>V</w:t>
            </w:r>
          </w:p>
        </w:tc>
        <w:tc>
          <w:tcPr>
            <w:tcW w:w="1134" w:type="dxa"/>
          </w:tcPr>
          <w:p w14:paraId="701AB98F" w14:textId="77777777" w:rsidR="00DB4B2E" w:rsidRDefault="00DB4B2E" w:rsidP="00DB4B2E">
            <w:pPr>
              <w:rPr>
                <w:rFonts w:ascii="Arial" w:hAnsi="Arial" w:cs="Arial"/>
                <w:sz w:val="24"/>
              </w:rPr>
            </w:pPr>
            <w:r>
              <w:rPr>
                <w:rFonts w:ascii="Arial" w:hAnsi="Arial" w:cs="Arial"/>
                <w:sz w:val="24"/>
              </w:rPr>
              <w:t>S</w:t>
            </w:r>
          </w:p>
        </w:tc>
      </w:tr>
      <w:tr w:rsidR="00DB4B2E" w14:paraId="5668774A" w14:textId="77777777" w:rsidTr="00225943">
        <w:trPr>
          <w:trHeight w:val="567"/>
        </w:trPr>
        <w:tc>
          <w:tcPr>
            <w:tcW w:w="959" w:type="dxa"/>
          </w:tcPr>
          <w:p w14:paraId="58312FA8" w14:textId="77777777" w:rsidR="00DB4B2E" w:rsidRDefault="00DB4B2E" w:rsidP="00DB4B2E">
            <w:pPr>
              <w:rPr>
                <w:rFonts w:ascii="Arial" w:hAnsi="Arial" w:cs="Arial"/>
                <w:sz w:val="24"/>
              </w:rPr>
            </w:pPr>
          </w:p>
        </w:tc>
        <w:tc>
          <w:tcPr>
            <w:tcW w:w="1134" w:type="dxa"/>
          </w:tcPr>
          <w:p w14:paraId="71FE29D4" w14:textId="77777777" w:rsidR="00DB4B2E" w:rsidRDefault="00DB4B2E" w:rsidP="00DB4B2E">
            <w:pPr>
              <w:rPr>
                <w:rFonts w:ascii="Arial" w:hAnsi="Arial" w:cs="Arial"/>
                <w:sz w:val="24"/>
              </w:rPr>
            </w:pPr>
          </w:p>
        </w:tc>
        <w:tc>
          <w:tcPr>
            <w:tcW w:w="1134" w:type="dxa"/>
          </w:tcPr>
          <w:p w14:paraId="3E979623" w14:textId="77777777" w:rsidR="00DB4B2E" w:rsidRDefault="00DB4B2E" w:rsidP="00DB4B2E">
            <w:pPr>
              <w:rPr>
                <w:rFonts w:ascii="Arial" w:hAnsi="Arial" w:cs="Arial"/>
                <w:sz w:val="24"/>
              </w:rPr>
            </w:pPr>
          </w:p>
        </w:tc>
        <w:tc>
          <w:tcPr>
            <w:tcW w:w="1276" w:type="dxa"/>
          </w:tcPr>
          <w:p w14:paraId="58679AC0" w14:textId="77777777" w:rsidR="00DB4B2E" w:rsidRDefault="00DB4B2E" w:rsidP="00DB4B2E">
            <w:pPr>
              <w:rPr>
                <w:rFonts w:ascii="Arial" w:hAnsi="Arial" w:cs="Arial"/>
                <w:sz w:val="24"/>
              </w:rPr>
            </w:pPr>
          </w:p>
        </w:tc>
        <w:tc>
          <w:tcPr>
            <w:tcW w:w="1417" w:type="dxa"/>
          </w:tcPr>
          <w:p w14:paraId="19A89005" w14:textId="77777777" w:rsidR="00DB4B2E" w:rsidRDefault="00DB4B2E" w:rsidP="00DB4B2E">
            <w:pPr>
              <w:rPr>
                <w:rFonts w:ascii="Arial" w:hAnsi="Arial" w:cs="Arial"/>
                <w:sz w:val="24"/>
              </w:rPr>
            </w:pPr>
            <w:r>
              <w:rPr>
                <w:rFonts w:ascii="Arial" w:hAnsi="Arial" w:cs="Arial"/>
                <w:sz w:val="24"/>
              </w:rPr>
              <w:t>1</w:t>
            </w:r>
          </w:p>
        </w:tc>
        <w:tc>
          <w:tcPr>
            <w:tcW w:w="1134" w:type="dxa"/>
          </w:tcPr>
          <w:p w14:paraId="72A9C23E" w14:textId="77777777" w:rsidR="00DB4B2E" w:rsidRDefault="00DB4B2E" w:rsidP="00DB4B2E">
            <w:pPr>
              <w:rPr>
                <w:rFonts w:ascii="Arial" w:hAnsi="Arial" w:cs="Arial"/>
                <w:sz w:val="24"/>
              </w:rPr>
            </w:pPr>
            <w:r>
              <w:rPr>
                <w:rFonts w:ascii="Arial" w:hAnsi="Arial" w:cs="Arial"/>
                <w:sz w:val="24"/>
              </w:rPr>
              <w:t>2</w:t>
            </w:r>
          </w:p>
        </w:tc>
        <w:tc>
          <w:tcPr>
            <w:tcW w:w="1134" w:type="dxa"/>
          </w:tcPr>
          <w:p w14:paraId="758DA7BA" w14:textId="77777777" w:rsidR="00DB4B2E" w:rsidRDefault="00DB4B2E" w:rsidP="00DB4B2E">
            <w:pPr>
              <w:rPr>
                <w:rFonts w:ascii="Arial" w:hAnsi="Arial" w:cs="Arial"/>
                <w:sz w:val="24"/>
              </w:rPr>
            </w:pPr>
            <w:r>
              <w:rPr>
                <w:rFonts w:ascii="Arial" w:hAnsi="Arial" w:cs="Arial"/>
                <w:sz w:val="24"/>
              </w:rPr>
              <w:t>3</w:t>
            </w:r>
          </w:p>
        </w:tc>
      </w:tr>
      <w:tr w:rsidR="00DB4B2E" w14:paraId="39DA6C18" w14:textId="77777777" w:rsidTr="00225943">
        <w:trPr>
          <w:trHeight w:val="567"/>
        </w:trPr>
        <w:tc>
          <w:tcPr>
            <w:tcW w:w="959" w:type="dxa"/>
          </w:tcPr>
          <w:p w14:paraId="00B5414E" w14:textId="77777777" w:rsidR="00DB4B2E" w:rsidRDefault="00DB4B2E" w:rsidP="00DB4B2E">
            <w:pPr>
              <w:rPr>
                <w:rFonts w:ascii="Arial" w:hAnsi="Arial" w:cs="Arial"/>
                <w:sz w:val="24"/>
              </w:rPr>
            </w:pPr>
            <w:r>
              <w:rPr>
                <w:rFonts w:ascii="Arial" w:hAnsi="Arial" w:cs="Arial"/>
                <w:sz w:val="24"/>
              </w:rPr>
              <w:t>4</w:t>
            </w:r>
          </w:p>
        </w:tc>
        <w:tc>
          <w:tcPr>
            <w:tcW w:w="1134" w:type="dxa"/>
          </w:tcPr>
          <w:p w14:paraId="449704A2" w14:textId="77777777" w:rsidR="00DB4B2E" w:rsidRDefault="00DB4B2E" w:rsidP="00DB4B2E">
            <w:pPr>
              <w:rPr>
                <w:rFonts w:ascii="Arial" w:hAnsi="Arial" w:cs="Arial"/>
                <w:sz w:val="24"/>
              </w:rPr>
            </w:pPr>
            <w:r>
              <w:rPr>
                <w:rFonts w:ascii="Arial" w:hAnsi="Arial" w:cs="Arial"/>
                <w:sz w:val="24"/>
              </w:rPr>
              <w:t>5</w:t>
            </w:r>
          </w:p>
        </w:tc>
        <w:tc>
          <w:tcPr>
            <w:tcW w:w="1134" w:type="dxa"/>
          </w:tcPr>
          <w:p w14:paraId="709996A3" w14:textId="77777777" w:rsidR="00DB4B2E" w:rsidRDefault="00DB4B2E" w:rsidP="00DB4B2E">
            <w:pPr>
              <w:rPr>
                <w:rFonts w:ascii="Arial" w:hAnsi="Arial" w:cs="Arial"/>
                <w:sz w:val="24"/>
              </w:rPr>
            </w:pPr>
            <w:r>
              <w:rPr>
                <w:rFonts w:ascii="Arial" w:hAnsi="Arial" w:cs="Arial"/>
                <w:sz w:val="24"/>
              </w:rPr>
              <w:t>6</w:t>
            </w:r>
          </w:p>
        </w:tc>
        <w:tc>
          <w:tcPr>
            <w:tcW w:w="1276" w:type="dxa"/>
          </w:tcPr>
          <w:p w14:paraId="4F34E413" w14:textId="77777777" w:rsidR="00DB4B2E" w:rsidRDefault="00DB4B2E" w:rsidP="00DB4B2E">
            <w:pPr>
              <w:rPr>
                <w:rFonts w:ascii="Arial" w:hAnsi="Arial" w:cs="Arial"/>
                <w:sz w:val="24"/>
              </w:rPr>
            </w:pPr>
            <w:r>
              <w:rPr>
                <w:rFonts w:ascii="Arial" w:hAnsi="Arial" w:cs="Arial"/>
                <w:sz w:val="24"/>
              </w:rPr>
              <w:t>7</w:t>
            </w:r>
          </w:p>
        </w:tc>
        <w:tc>
          <w:tcPr>
            <w:tcW w:w="1417" w:type="dxa"/>
          </w:tcPr>
          <w:p w14:paraId="3B1E864B" w14:textId="77777777" w:rsidR="00DB4B2E" w:rsidRDefault="00DB4B2E" w:rsidP="00DB4B2E">
            <w:pPr>
              <w:rPr>
                <w:rFonts w:ascii="Arial" w:hAnsi="Arial" w:cs="Arial"/>
                <w:sz w:val="24"/>
              </w:rPr>
            </w:pPr>
            <w:r>
              <w:rPr>
                <w:rFonts w:ascii="Arial" w:hAnsi="Arial" w:cs="Arial"/>
                <w:sz w:val="24"/>
              </w:rPr>
              <w:t>8</w:t>
            </w:r>
          </w:p>
        </w:tc>
        <w:tc>
          <w:tcPr>
            <w:tcW w:w="1134" w:type="dxa"/>
            <w:shd w:val="clear" w:color="auto" w:fill="FABF8F" w:themeFill="accent6" w:themeFillTint="99"/>
          </w:tcPr>
          <w:p w14:paraId="1D12B979" w14:textId="090C7FF5" w:rsidR="00DB4B2E" w:rsidRPr="007A53BF" w:rsidRDefault="00DB4B2E" w:rsidP="00CC0DD7">
            <w:pPr>
              <w:rPr>
                <w:rFonts w:ascii="Arial" w:hAnsi="Arial" w:cs="Arial"/>
                <w:b/>
                <w:sz w:val="24"/>
              </w:rPr>
            </w:pPr>
            <w:r w:rsidRPr="007A53BF">
              <w:rPr>
                <w:rFonts w:ascii="Arial" w:hAnsi="Arial" w:cs="Arial"/>
                <w:b/>
                <w:sz w:val="24"/>
              </w:rPr>
              <w:t>9</w:t>
            </w:r>
            <w:r w:rsidR="00CC0DD7">
              <w:rPr>
                <w:rFonts w:ascii="Arial" w:hAnsi="Arial" w:cs="Arial"/>
                <w:b/>
                <w:sz w:val="24"/>
              </w:rPr>
              <w:t xml:space="preserve"> </w:t>
            </w:r>
            <w:r w:rsidR="00CC0DD7" w:rsidRPr="00CC0DD7">
              <w:rPr>
                <w:rFonts w:ascii="Arial" w:hAnsi="Arial" w:cs="Arial"/>
                <w:sz w:val="14"/>
              </w:rPr>
              <w:t>Día de Publicación en el DOF</w:t>
            </w:r>
          </w:p>
        </w:tc>
        <w:tc>
          <w:tcPr>
            <w:tcW w:w="1134" w:type="dxa"/>
            <w:shd w:val="clear" w:color="auto" w:fill="C4BC96" w:themeFill="background2" w:themeFillShade="BF"/>
          </w:tcPr>
          <w:p w14:paraId="726222B5" w14:textId="77777777" w:rsidR="00DB4B2E" w:rsidRDefault="00DB4B2E" w:rsidP="00DB4B2E">
            <w:pPr>
              <w:rPr>
                <w:rFonts w:ascii="Arial" w:hAnsi="Arial" w:cs="Arial"/>
                <w:sz w:val="24"/>
              </w:rPr>
            </w:pPr>
            <w:r>
              <w:rPr>
                <w:rFonts w:ascii="Arial" w:hAnsi="Arial" w:cs="Arial"/>
                <w:sz w:val="24"/>
              </w:rPr>
              <w:t>10</w:t>
            </w:r>
          </w:p>
        </w:tc>
      </w:tr>
      <w:tr w:rsidR="00DB4B2E" w14:paraId="46C7CB74" w14:textId="77777777" w:rsidTr="00225943">
        <w:trPr>
          <w:trHeight w:val="567"/>
        </w:trPr>
        <w:tc>
          <w:tcPr>
            <w:tcW w:w="959" w:type="dxa"/>
            <w:shd w:val="clear" w:color="auto" w:fill="C4BC96" w:themeFill="background2" w:themeFillShade="BF"/>
          </w:tcPr>
          <w:p w14:paraId="0B71B5C1" w14:textId="77777777" w:rsidR="00DB4B2E" w:rsidRDefault="00DB4B2E" w:rsidP="00DB4B2E">
            <w:pPr>
              <w:rPr>
                <w:rFonts w:ascii="Arial" w:hAnsi="Arial" w:cs="Arial"/>
                <w:sz w:val="24"/>
              </w:rPr>
            </w:pPr>
            <w:r>
              <w:rPr>
                <w:rFonts w:ascii="Arial" w:hAnsi="Arial" w:cs="Arial"/>
                <w:sz w:val="24"/>
              </w:rPr>
              <w:t>11</w:t>
            </w:r>
          </w:p>
        </w:tc>
        <w:tc>
          <w:tcPr>
            <w:tcW w:w="1134" w:type="dxa"/>
            <w:shd w:val="clear" w:color="auto" w:fill="B2A1C7" w:themeFill="accent4" w:themeFillTint="99"/>
          </w:tcPr>
          <w:p w14:paraId="24566935" w14:textId="77777777" w:rsidR="00DB4B2E" w:rsidRDefault="00DB4B2E" w:rsidP="00DB4B2E">
            <w:pPr>
              <w:rPr>
                <w:rFonts w:ascii="Arial" w:hAnsi="Arial" w:cs="Arial"/>
                <w:sz w:val="24"/>
              </w:rPr>
            </w:pPr>
            <w:r>
              <w:rPr>
                <w:rFonts w:ascii="Arial" w:hAnsi="Arial" w:cs="Arial"/>
                <w:sz w:val="24"/>
              </w:rPr>
              <w:t>12</w:t>
            </w:r>
          </w:p>
          <w:p w14:paraId="220EE3A8" w14:textId="77777777" w:rsidR="00DB4B2E" w:rsidRDefault="00DB4B2E" w:rsidP="00DB4B2E">
            <w:pPr>
              <w:rPr>
                <w:rFonts w:ascii="Arial" w:hAnsi="Arial" w:cs="Arial"/>
                <w:sz w:val="24"/>
              </w:rPr>
            </w:pPr>
          </w:p>
          <w:p w14:paraId="33101DDE" w14:textId="70175D18" w:rsidR="00DB4B2E" w:rsidRDefault="00DB4B2E" w:rsidP="00CC0DD7">
            <w:pPr>
              <w:rPr>
                <w:rFonts w:ascii="Arial" w:hAnsi="Arial" w:cs="Arial"/>
                <w:sz w:val="24"/>
              </w:rPr>
            </w:pPr>
            <w:r w:rsidRPr="00CC0DD7">
              <w:rPr>
                <w:rFonts w:ascii="Arial" w:hAnsi="Arial" w:cs="Arial"/>
                <w:b/>
              </w:rPr>
              <w:t>Día uno</w:t>
            </w:r>
          </w:p>
        </w:tc>
        <w:tc>
          <w:tcPr>
            <w:tcW w:w="1134" w:type="dxa"/>
            <w:shd w:val="clear" w:color="auto" w:fill="B2A1C7" w:themeFill="accent4" w:themeFillTint="99"/>
          </w:tcPr>
          <w:p w14:paraId="0C56AA6A" w14:textId="77777777" w:rsidR="00DB4B2E" w:rsidRDefault="00DB4B2E" w:rsidP="00DB4B2E">
            <w:pPr>
              <w:rPr>
                <w:rFonts w:ascii="Arial" w:hAnsi="Arial" w:cs="Arial"/>
                <w:sz w:val="24"/>
              </w:rPr>
            </w:pPr>
            <w:r>
              <w:rPr>
                <w:rFonts w:ascii="Arial" w:hAnsi="Arial" w:cs="Arial"/>
                <w:sz w:val="24"/>
              </w:rPr>
              <w:t>13</w:t>
            </w:r>
          </w:p>
          <w:p w14:paraId="73D45309" w14:textId="77777777" w:rsidR="00DB4B2E" w:rsidRDefault="00DB4B2E" w:rsidP="00DB4B2E">
            <w:pPr>
              <w:rPr>
                <w:rFonts w:ascii="Arial" w:hAnsi="Arial" w:cs="Arial"/>
                <w:sz w:val="24"/>
              </w:rPr>
            </w:pPr>
          </w:p>
          <w:p w14:paraId="338278C1" w14:textId="77777777" w:rsidR="00DB4B2E" w:rsidRPr="00941F3C" w:rsidRDefault="00DB4B2E" w:rsidP="00DB4B2E">
            <w:pPr>
              <w:rPr>
                <w:rFonts w:ascii="Arial" w:hAnsi="Arial" w:cs="Arial"/>
                <w:b/>
                <w:sz w:val="24"/>
              </w:rPr>
            </w:pPr>
            <w:r w:rsidRPr="00CC0DD7">
              <w:rPr>
                <w:rFonts w:ascii="Arial" w:hAnsi="Arial" w:cs="Arial"/>
                <w:b/>
              </w:rPr>
              <w:t>Día dos</w:t>
            </w:r>
          </w:p>
        </w:tc>
        <w:tc>
          <w:tcPr>
            <w:tcW w:w="1276" w:type="dxa"/>
            <w:shd w:val="clear" w:color="auto" w:fill="C4BC96" w:themeFill="background2" w:themeFillShade="BF"/>
          </w:tcPr>
          <w:p w14:paraId="2F5F60F3" w14:textId="77777777" w:rsidR="00DB4B2E" w:rsidRDefault="00DB4B2E" w:rsidP="00DB4B2E">
            <w:pPr>
              <w:rPr>
                <w:rFonts w:ascii="Arial" w:hAnsi="Arial" w:cs="Arial"/>
                <w:sz w:val="24"/>
              </w:rPr>
            </w:pPr>
            <w:r>
              <w:rPr>
                <w:rFonts w:ascii="Arial" w:hAnsi="Arial" w:cs="Arial"/>
                <w:sz w:val="24"/>
              </w:rPr>
              <w:t>14</w:t>
            </w:r>
          </w:p>
          <w:p w14:paraId="79172623" w14:textId="77777777" w:rsidR="00DB4B2E" w:rsidRDefault="00DB4B2E" w:rsidP="00DB4B2E">
            <w:pPr>
              <w:rPr>
                <w:rFonts w:ascii="Arial" w:hAnsi="Arial" w:cs="Arial"/>
                <w:sz w:val="18"/>
              </w:rPr>
            </w:pPr>
          </w:p>
          <w:p w14:paraId="081F0115" w14:textId="77777777" w:rsidR="00DB4B2E" w:rsidRPr="000B7BCE" w:rsidRDefault="00DB4B2E" w:rsidP="00DB4B2E">
            <w:pPr>
              <w:rPr>
                <w:rFonts w:ascii="Arial" w:hAnsi="Arial" w:cs="Arial"/>
                <w:b/>
                <w:sz w:val="24"/>
              </w:rPr>
            </w:pPr>
          </w:p>
        </w:tc>
        <w:tc>
          <w:tcPr>
            <w:tcW w:w="1417" w:type="dxa"/>
            <w:shd w:val="clear" w:color="auto" w:fill="C4BC96" w:themeFill="background2" w:themeFillShade="BF"/>
          </w:tcPr>
          <w:p w14:paraId="2879398E" w14:textId="77777777" w:rsidR="00DB4B2E" w:rsidRDefault="00DB4B2E" w:rsidP="00DB4B2E">
            <w:pPr>
              <w:rPr>
                <w:rFonts w:ascii="Arial" w:hAnsi="Arial" w:cs="Arial"/>
                <w:sz w:val="24"/>
              </w:rPr>
            </w:pPr>
            <w:r>
              <w:rPr>
                <w:rFonts w:ascii="Arial" w:hAnsi="Arial" w:cs="Arial"/>
                <w:sz w:val="24"/>
              </w:rPr>
              <w:t>15</w:t>
            </w:r>
          </w:p>
        </w:tc>
        <w:tc>
          <w:tcPr>
            <w:tcW w:w="1134" w:type="dxa"/>
            <w:shd w:val="clear" w:color="auto" w:fill="C4BC96" w:themeFill="background2" w:themeFillShade="BF"/>
          </w:tcPr>
          <w:p w14:paraId="4DA1B588" w14:textId="77777777" w:rsidR="00DB4B2E" w:rsidRDefault="00DB4B2E" w:rsidP="00DB4B2E">
            <w:pPr>
              <w:rPr>
                <w:rFonts w:ascii="Arial" w:hAnsi="Arial" w:cs="Arial"/>
                <w:sz w:val="24"/>
              </w:rPr>
            </w:pPr>
            <w:r>
              <w:rPr>
                <w:rFonts w:ascii="Arial" w:hAnsi="Arial" w:cs="Arial"/>
                <w:sz w:val="24"/>
              </w:rPr>
              <w:t>16</w:t>
            </w:r>
          </w:p>
        </w:tc>
        <w:tc>
          <w:tcPr>
            <w:tcW w:w="1134" w:type="dxa"/>
            <w:shd w:val="clear" w:color="auto" w:fill="C4BC96" w:themeFill="background2" w:themeFillShade="BF"/>
          </w:tcPr>
          <w:p w14:paraId="4FBDFE0B" w14:textId="77777777" w:rsidR="00DB4B2E" w:rsidRDefault="00DB4B2E" w:rsidP="00DB4B2E">
            <w:pPr>
              <w:rPr>
                <w:rFonts w:ascii="Arial" w:hAnsi="Arial" w:cs="Arial"/>
                <w:sz w:val="24"/>
              </w:rPr>
            </w:pPr>
            <w:r>
              <w:rPr>
                <w:rFonts w:ascii="Arial" w:hAnsi="Arial" w:cs="Arial"/>
                <w:sz w:val="24"/>
              </w:rPr>
              <w:t>17</w:t>
            </w:r>
          </w:p>
        </w:tc>
      </w:tr>
      <w:tr w:rsidR="00DB4B2E" w14:paraId="348D4B71" w14:textId="77777777" w:rsidTr="0055398E">
        <w:trPr>
          <w:trHeight w:val="948"/>
        </w:trPr>
        <w:tc>
          <w:tcPr>
            <w:tcW w:w="959" w:type="dxa"/>
            <w:shd w:val="clear" w:color="auto" w:fill="C4BC96" w:themeFill="background2" w:themeFillShade="BF"/>
          </w:tcPr>
          <w:p w14:paraId="79D50AB6" w14:textId="77777777" w:rsidR="00DB4B2E" w:rsidRDefault="00DB4B2E" w:rsidP="00DB4B2E">
            <w:pPr>
              <w:rPr>
                <w:rFonts w:ascii="Arial" w:hAnsi="Arial" w:cs="Arial"/>
                <w:sz w:val="24"/>
              </w:rPr>
            </w:pPr>
            <w:r>
              <w:rPr>
                <w:rFonts w:ascii="Arial" w:hAnsi="Arial" w:cs="Arial"/>
                <w:sz w:val="24"/>
              </w:rPr>
              <w:t>18</w:t>
            </w:r>
          </w:p>
        </w:tc>
        <w:tc>
          <w:tcPr>
            <w:tcW w:w="1134" w:type="dxa"/>
            <w:shd w:val="clear" w:color="auto" w:fill="B2A1C7" w:themeFill="accent4" w:themeFillTint="99"/>
          </w:tcPr>
          <w:p w14:paraId="7D08E5B2" w14:textId="77777777" w:rsidR="00DB4B2E" w:rsidRDefault="00DB4B2E" w:rsidP="00DB4B2E">
            <w:pPr>
              <w:rPr>
                <w:rFonts w:ascii="Arial" w:hAnsi="Arial" w:cs="Arial"/>
                <w:sz w:val="24"/>
              </w:rPr>
            </w:pPr>
            <w:r>
              <w:rPr>
                <w:rFonts w:ascii="Arial" w:hAnsi="Arial" w:cs="Arial"/>
                <w:sz w:val="24"/>
              </w:rPr>
              <w:t>19</w:t>
            </w:r>
          </w:p>
          <w:p w14:paraId="5960C7FC" w14:textId="77777777" w:rsidR="00DB4B2E" w:rsidRDefault="00DB4B2E" w:rsidP="00DB4B2E">
            <w:pPr>
              <w:rPr>
                <w:rFonts w:ascii="Arial" w:hAnsi="Arial" w:cs="Arial"/>
                <w:sz w:val="24"/>
              </w:rPr>
            </w:pPr>
          </w:p>
          <w:p w14:paraId="70E50528" w14:textId="77777777" w:rsidR="00DB4B2E" w:rsidRPr="00CC0DD7" w:rsidRDefault="00DB4B2E" w:rsidP="00DB4B2E">
            <w:pPr>
              <w:rPr>
                <w:rFonts w:ascii="Arial" w:hAnsi="Arial" w:cs="Arial"/>
                <w:b/>
              </w:rPr>
            </w:pPr>
            <w:r w:rsidRPr="00CC0DD7">
              <w:rPr>
                <w:rFonts w:ascii="Arial" w:hAnsi="Arial" w:cs="Arial"/>
                <w:b/>
              </w:rPr>
              <w:t>Día tres</w:t>
            </w:r>
          </w:p>
          <w:p w14:paraId="1D03BDFA" w14:textId="77777777" w:rsidR="00DB4B2E" w:rsidRDefault="00DB4B2E" w:rsidP="00DB4B2E">
            <w:pPr>
              <w:rPr>
                <w:rFonts w:ascii="Arial" w:hAnsi="Arial" w:cs="Arial"/>
                <w:sz w:val="24"/>
              </w:rPr>
            </w:pPr>
          </w:p>
        </w:tc>
        <w:tc>
          <w:tcPr>
            <w:tcW w:w="1134" w:type="dxa"/>
            <w:shd w:val="clear" w:color="auto" w:fill="B2A1C7" w:themeFill="accent4" w:themeFillTint="99"/>
          </w:tcPr>
          <w:p w14:paraId="339BEFC5" w14:textId="77777777" w:rsidR="00DB4B2E" w:rsidRDefault="00DB4B2E" w:rsidP="00DB4B2E">
            <w:pPr>
              <w:rPr>
                <w:rFonts w:ascii="Arial" w:hAnsi="Arial" w:cs="Arial"/>
                <w:sz w:val="24"/>
              </w:rPr>
            </w:pPr>
            <w:r>
              <w:rPr>
                <w:rFonts w:ascii="Arial" w:hAnsi="Arial" w:cs="Arial"/>
                <w:sz w:val="24"/>
              </w:rPr>
              <w:t>20</w:t>
            </w:r>
          </w:p>
          <w:p w14:paraId="004A2B24" w14:textId="77777777" w:rsidR="00DB4B2E" w:rsidRDefault="00DB4B2E" w:rsidP="00DB4B2E">
            <w:pPr>
              <w:rPr>
                <w:rFonts w:ascii="Arial" w:hAnsi="Arial" w:cs="Arial"/>
                <w:sz w:val="24"/>
              </w:rPr>
            </w:pPr>
          </w:p>
          <w:p w14:paraId="3865BE00" w14:textId="77777777" w:rsidR="00DB4B2E" w:rsidRPr="00941F3C" w:rsidRDefault="00DB4B2E" w:rsidP="00DB4B2E">
            <w:pPr>
              <w:rPr>
                <w:rFonts w:ascii="Arial" w:hAnsi="Arial" w:cs="Arial"/>
                <w:b/>
                <w:sz w:val="24"/>
              </w:rPr>
            </w:pPr>
            <w:r w:rsidRPr="00CC0DD7">
              <w:rPr>
                <w:rFonts w:ascii="Arial" w:hAnsi="Arial" w:cs="Arial"/>
                <w:b/>
              </w:rPr>
              <w:t>Día cuatro</w:t>
            </w:r>
          </w:p>
        </w:tc>
        <w:tc>
          <w:tcPr>
            <w:tcW w:w="1276" w:type="dxa"/>
            <w:shd w:val="clear" w:color="auto" w:fill="B2A1C7" w:themeFill="accent4" w:themeFillTint="99"/>
          </w:tcPr>
          <w:p w14:paraId="3236C923" w14:textId="77777777" w:rsidR="00DB4B2E" w:rsidRDefault="00DB4B2E" w:rsidP="00DB4B2E">
            <w:pPr>
              <w:rPr>
                <w:rFonts w:ascii="Arial" w:hAnsi="Arial" w:cs="Arial"/>
                <w:sz w:val="24"/>
              </w:rPr>
            </w:pPr>
            <w:r>
              <w:rPr>
                <w:rFonts w:ascii="Arial" w:hAnsi="Arial" w:cs="Arial"/>
                <w:sz w:val="24"/>
              </w:rPr>
              <w:t>21</w:t>
            </w:r>
          </w:p>
          <w:p w14:paraId="7ACF2259" w14:textId="77777777" w:rsidR="00DB4B2E" w:rsidRDefault="00DB4B2E" w:rsidP="00DB4B2E">
            <w:pPr>
              <w:rPr>
                <w:rFonts w:ascii="Arial" w:hAnsi="Arial" w:cs="Arial"/>
                <w:sz w:val="24"/>
              </w:rPr>
            </w:pPr>
          </w:p>
          <w:p w14:paraId="776599FA" w14:textId="77777777" w:rsidR="00DB4B2E" w:rsidRPr="00941F3C" w:rsidRDefault="00DB4B2E" w:rsidP="00DB4B2E">
            <w:pPr>
              <w:rPr>
                <w:rFonts w:ascii="Arial" w:hAnsi="Arial" w:cs="Arial"/>
                <w:b/>
                <w:sz w:val="24"/>
              </w:rPr>
            </w:pPr>
            <w:r w:rsidRPr="00CC0DD7">
              <w:rPr>
                <w:rFonts w:ascii="Arial" w:hAnsi="Arial" w:cs="Arial"/>
                <w:b/>
              </w:rPr>
              <w:t>Día cinco</w:t>
            </w:r>
          </w:p>
        </w:tc>
        <w:tc>
          <w:tcPr>
            <w:tcW w:w="1417" w:type="dxa"/>
            <w:shd w:val="clear" w:color="auto" w:fill="B2A1C7" w:themeFill="accent4" w:themeFillTint="99"/>
          </w:tcPr>
          <w:p w14:paraId="0FD11086" w14:textId="77777777" w:rsidR="00DB4B2E" w:rsidRDefault="00DB4B2E" w:rsidP="00DB4B2E">
            <w:pPr>
              <w:rPr>
                <w:rFonts w:ascii="Arial" w:hAnsi="Arial" w:cs="Arial"/>
                <w:sz w:val="24"/>
              </w:rPr>
            </w:pPr>
            <w:r>
              <w:rPr>
                <w:rFonts w:ascii="Arial" w:hAnsi="Arial" w:cs="Arial"/>
                <w:sz w:val="24"/>
              </w:rPr>
              <w:t>22</w:t>
            </w:r>
          </w:p>
          <w:p w14:paraId="62738C2A" w14:textId="77777777" w:rsidR="00DB4B2E" w:rsidRDefault="00DB4B2E" w:rsidP="00DB4B2E">
            <w:pPr>
              <w:rPr>
                <w:rFonts w:ascii="Arial" w:hAnsi="Arial" w:cs="Arial"/>
                <w:sz w:val="24"/>
              </w:rPr>
            </w:pPr>
          </w:p>
          <w:p w14:paraId="05D51CE6" w14:textId="77777777" w:rsidR="00DB4B2E" w:rsidRPr="00941F3C" w:rsidRDefault="00DB4B2E" w:rsidP="00DB4B2E">
            <w:pPr>
              <w:rPr>
                <w:rFonts w:ascii="Arial" w:hAnsi="Arial" w:cs="Arial"/>
                <w:b/>
                <w:sz w:val="24"/>
              </w:rPr>
            </w:pPr>
            <w:r w:rsidRPr="00CC0DD7">
              <w:rPr>
                <w:rFonts w:ascii="Arial" w:hAnsi="Arial" w:cs="Arial"/>
                <w:b/>
              </w:rPr>
              <w:t>Día seis</w:t>
            </w:r>
          </w:p>
        </w:tc>
        <w:tc>
          <w:tcPr>
            <w:tcW w:w="1134" w:type="dxa"/>
            <w:shd w:val="clear" w:color="auto" w:fill="B2A1C7" w:themeFill="accent4" w:themeFillTint="99"/>
          </w:tcPr>
          <w:p w14:paraId="5BC25DC6" w14:textId="77777777" w:rsidR="00DB4B2E" w:rsidRDefault="00DB4B2E" w:rsidP="00DB4B2E">
            <w:pPr>
              <w:rPr>
                <w:rFonts w:ascii="Arial" w:hAnsi="Arial" w:cs="Arial"/>
                <w:sz w:val="24"/>
              </w:rPr>
            </w:pPr>
            <w:r>
              <w:rPr>
                <w:rFonts w:ascii="Arial" w:hAnsi="Arial" w:cs="Arial"/>
                <w:sz w:val="24"/>
              </w:rPr>
              <w:t>23</w:t>
            </w:r>
          </w:p>
          <w:p w14:paraId="4A9453F0" w14:textId="77777777" w:rsidR="00DB4B2E" w:rsidRDefault="00DB4B2E" w:rsidP="00DB4B2E">
            <w:pPr>
              <w:rPr>
                <w:rFonts w:ascii="Arial" w:hAnsi="Arial" w:cs="Arial"/>
                <w:sz w:val="24"/>
              </w:rPr>
            </w:pPr>
          </w:p>
          <w:p w14:paraId="37650451" w14:textId="77777777" w:rsidR="00DB4B2E" w:rsidRPr="00941F3C" w:rsidRDefault="00DB4B2E" w:rsidP="00DB4B2E">
            <w:pPr>
              <w:rPr>
                <w:rFonts w:ascii="Arial" w:hAnsi="Arial" w:cs="Arial"/>
                <w:b/>
                <w:sz w:val="24"/>
              </w:rPr>
            </w:pPr>
            <w:r w:rsidRPr="00CC0DD7">
              <w:rPr>
                <w:rFonts w:ascii="Arial" w:hAnsi="Arial" w:cs="Arial"/>
                <w:b/>
              </w:rPr>
              <w:t>Día siete</w:t>
            </w:r>
          </w:p>
        </w:tc>
        <w:tc>
          <w:tcPr>
            <w:tcW w:w="1134" w:type="dxa"/>
            <w:shd w:val="clear" w:color="auto" w:fill="C4BC96" w:themeFill="background2" w:themeFillShade="BF"/>
          </w:tcPr>
          <w:p w14:paraId="39636102" w14:textId="77777777" w:rsidR="00DB4B2E" w:rsidRDefault="00DB4B2E" w:rsidP="00DB4B2E">
            <w:pPr>
              <w:rPr>
                <w:rFonts w:ascii="Arial" w:hAnsi="Arial" w:cs="Arial"/>
                <w:sz w:val="24"/>
              </w:rPr>
            </w:pPr>
            <w:r>
              <w:rPr>
                <w:rFonts w:ascii="Arial" w:hAnsi="Arial" w:cs="Arial"/>
                <w:sz w:val="24"/>
              </w:rPr>
              <w:t>24</w:t>
            </w:r>
          </w:p>
        </w:tc>
      </w:tr>
      <w:tr w:rsidR="00DB4B2E" w14:paraId="7122E273" w14:textId="77777777" w:rsidTr="0055398E">
        <w:trPr>
          <w:trHeight w:val="850"/>
        </w:trPr>
        <w:tc>
          <w:tcPr>
            <w:tcW w:w="959" w:type="dxa"/>
            <w:shd w:val="clear" w:color="auto" w:fill="C4BC96" w:themeFill="background2" w:themeFillShade="BF"/>
          </w:tcPr>
          <w:p w14:paraId="2B93ECFE" w14:textId="77777777" w:rsidR="00DB4B2E" w:rsidRDefault="00DB4B2E" w:rsidP="00DB4B2E">
            <w:pPr>
              <w:rPr>
                <w:rFonts w:ascii="Arial" w:hAnsi="Arial" w:cs="Arial"/>
                <w:sz w:val="24"/>
              </w:rPr>
            </w:pPr>
            <w:r>
              <w:rPr>
                <w:rFonts w:ascii="Arial" w:hAnsi="Arial" w:cs="Arial"/>
                <w:sz w:val="24"/>
              </w:rPr>
              <w:t>25</w:t>
            </w:r>
          </w:p>
        </w:tc>
        <w:tc>
          <w:tcPr>
            <w:tcW w:w="1134" w:type="dxa"/>
            <w:shd w:val="clear" w:color="auto" w:fill="B2A1C7" w:themeFill="accent4" w:themeFillTint="99"/>
          </w:tcPr>
          <w:p w14:paraId="64F795ED" w14:textId="794A5F7F" w:rsidR="00DB4B2E" w:rsidRDefault="00DB4B2E" w:rsidP="00DB4B2E">
            <w:pPr>
              <w:rPr>
                <w:rFonts w:ascii="Arial" w:hAnsi="Arial" w:cs="Arial"/>
                <w:sz w:val="24"/>
              </w:rPr>
            </w:pPr>
            <w:r>
              <w:rPr>
                <w:rFonts w:ascii="Arial" w:hAnsi="Arial" w:cs="Arial"/>
                <w:sz w:val="24"/>
              </w:rPr>
              <w:t>26</w:t>
            </w:r>
          </w:p>
          <w:p w14:paraId="67230A42" w14:textId="77777777" w:rsidR="00DB4B2E" w:rsidRPr="00CC0DD7" w:rsidRDefault="00DB4B2E" w:rsidP="00DB4B2E">
            <w:pPr>
              <w:rPr>
                <w:rFonts w:ascii="Arial" w:hAnsi="Arial" w:cs="Arial"/>
                <w:b/>
              </w:rPr>
            </w:pPr>
            <w:r w:rsidRPr="00CC0DD7">
              <w:rPr>
                <w:rFonts w:ascii="Arial" w:hAnsi="Arial" w:cs="Arial"/>
                <w:b/>
              </w:rPr>
              <w:t>Día ocho</w:t>
            </w:r>
          </w:p>
          <w:p w14:paraId="464D765E" w14:textId="77777777" w:rsidR="00DB4B2E" w:rsidRDefault="00DB4B2E" w:rsidP="00DB4B2E">
            <w:pPr>
              <w:rPr>
                <w:rFonts w:ascii="Arial" w:hAnsi="Arial" w:cs="Arial"/>
                <w:sz w:val="24"/>
              </w:rPr>
            </w:pPr>
          </w:p>
        </w:tc>
        <w:tc>
          <w:tcPr>
            <w:tcW w:w="1134" w:type="dxa"/>
            <w:shd w:val="clear" w:color="auto" w:fill="B2A1C7" w:themeFill="accent4" w:themeFillTint="99"/>
          </w:tcPr>
          <w:p w14:paraId="24C2DFAC" w14:textId="77777777" w:rsidR="00DB4B2E" w:rsidRDefault="00DB4B2E" w:rsidP="00DB4B2E">
            <w:pPr>
              <w:rPr>
                <w:rFonts w:ascii="Arial" w:hAnsi="Arial" w:cs="Arial"/>
                <w:sz w:val="24"/>
              </w:rPr>
            </w:pPr>
            <w:r>
              <w:rPr>
                <w:rFonts w:ascii="Arial" w:hAnsi="Arial" w:cs="Arial"/>
                <w:sz w:val="24"/>
              </w:rPr>
              <w:t>27</w:t>
            </w:r>
          </w:p>
          <w:p w14:paraId="4E88AFB7" w14:textId="77777777" w:rsidR="00DB4B2E" w:rsidRPr="00941F3C" w:rsidRDefault="00DB4B2E" w:rsidP="00DB4B2E">
            <w:pPr>
              <w:rPr>
                <w:rFonts w:ascii="Arial" w:hAnsi="Arial" w:cs="Arial"/>
                <w:b/>
                <w:sz w:val="24"/>
              </w:rPr>
            </w:pPr>
            <w:r w:rsidRPr="00CC0DD7">
              <w:rPr>
                <w:rFonts w:ascii="Arial" w:hAnsi="Arial" w:cs="Arial"/>
                <w:b/>
              </w:rPr>
              <w:t>Día nueve</w:t>
            </w:r>
          </w:p>
        </w:tc>
        <w:tc>
          <w:tcPr>
            <w:tcW w:w="1276" w:type="dxa"/>
            <w:shd w:val="clear" w:color="auto" w:fill="B2A1C7" w:themeFill="accent4" w:themeFillTint="99"/>
          </w:tcPr>
          <w:p w14:paraId="6CC9D964" w14:textId="79617587" w:rsidR="00DB4B2E" w:rsidRDefault="00DB4B2E" w:rsidP="00DB4B2E">
            <w:pPr>
              <w:rPr>
                <w:rFonts w:ascii="Arial" w:hAnsi="Arial" w:cs="Arial"/>
                <w:sz w:val="24"/>
              </w:rPr>
            </w:pPr>
            <w:r>
              <w:rPr>
                <w:rFonts w:ascii="Arial" w:hAnsi="Arial" w:cs="Arial"/>
                <w:sz w:val="24"/>
              </w:rPr>
              <w:t>27</w:t>
            </w:r>
          </w:p>
          <w:p w14:paraId="72362238" w14:textId="77777777" w:rsidR="00DB4B2E" w:rsidRPr="00941F3C" w:rsidRDefault="00DB4B2E" w:rsidP="00DB4B2E">
            <w:pPr>
              <w:rPr>
                <w:rFonts w:ascii="Arial" w:hAnsi="Arial" w:cs="Arial"/>
                <w:b/>
                <w:sz w:val="24"/>
              </w:rPr>
            </w:pPr>
            <w:r w:rsidRPr="00CC0DD7">
              <w:rPr>
                <w:rFonts w:ascii="Arial" w:hAnsi="Arial" w:cs="Arial"/>
                <w:b/>
              </w:rPr>
              <w:t>Día diez</w:t>
            </w:r>
          </w:p>
        </w:tc>
        <w:tc>
          <w:tcPr>
            <w:tcW w:w="1417" w:type="dxa"/>
            <w:shd w:val="clear" w:color="auto" w:fill="B2A1C7" w:themeFill="accent4" w:themeFillTint="99"/>
          </w:tcPr>
          <w:p w14:paraId="21CBBA47" w14:textId="77777777" w:rsidR="00DB4B2E" w:rsidRDefault="00DB4B2E" w:rsidP="00DB4B2E">
            <w:pPr>
              <w:rPr>
                <w:rFonts w:ascii="Arial" w:hAnsi="Arial" w:cs="Arial"/>
                <w:sz w:val="24"/>
              </w:rPr>
            </w:pPr>
            <w:r>
              <w:rPr>
                <w:rFonts w:ascii="Arial" w:hAnsi="Arial" w:cs="Arial"/>
                <w:sz w:val="24"/>
              </w:rPr>
              <w:t>29</w:t>
            </w:r>
          </w:p>
          <w:p w14:paraId="2346B0C5" w14:textId="77777777" w:rsidR="00DB4B2E" w:rsidRPr="00941F3C" w:rsidRDefault="00DB4B2E" w:rsidP="00DB4B2E">
            <w:pPr>
              <w:rPr>
                <w:rFonts w:ascii="Arial" w:hAnsi="Arial" w:cs="Arial"/>
                <w:b/>
                <w:sz w:val="24"/>
              </w:rPr>
            </w:pPr>
            <w:r w:rsidRPr="00CC0DD7">
              <w:rPr>
                <w:rFonts w:ascii="Arial" w:hAnsi="Arial" w:cs="Arial"/>
                <w:b/>
              </w:rPr>
              <w:t>Día once</w:t>
            </w:r>
          </w:p>
        </w:tc>
        <w:tc>
          <w:tcPr>
            <w:tcW w:w="1134" w:type="dxa"/>
            <w:shd w:val="clear" w:color="auto" w:fill="B2A1C7" w:themeFill="accent4" w:themeFillTint="99"/>
          </w:tcPr>
          <w:p w14:paraId="69F84C8E" w14:textId="77777777" w:rsidR="00DB4B2E" w:rsidRDefault="00DB4B2E" w:rsidP="00DB4B2E">
            <w:pPr>
              <w:rPr>
                <w:rFonts w:ascii="Arial" w:hAnsi="Arial" w:cs="Arial"/>
                <w:sz w:val="24"/>
              </w:rPr>
            </w:pPr>
            <w:r>
              <w:rPr>
                <w:rFonts w:ascii="Arial" w:hAnsi="Arial" w:cs="Arial"/>
                <w:sz w:val="24"/>
              </w:rPr>
              <w:t>30</w:t>
            </w:r>
          </w:p>
          <w:p w14:paraId="448EF5AF" w14:textId="77777777" w:rsidR="00DB4B2E" w:rsidRPr="00941F3C" w:rsidRDefault="00DB4B2E" w:rsidP="00DB4B2E">
            <w:pPr>
              <w:rPr>
                <w:rFonts w:ascii="Arial" w:hAnsi="Arial" w:cs="Arial"/>
                <w:b/>
                <w:sz w:val="24"/>
              </w:rPr>
            </w:pPr>
            <w:r w:rsidRPr="00CC0DD7">
              <w:rPr>
                <w:rFonts w:ascii="Arial" w:hAnsi="Arial" w:cs="Arial"/>
                <w:b/>
              </w:rPr>
              <w:t>Día doce</w:t>
            </w:r>
          </w:p>
        </w:tc>
        <w:tc>
          <w:tcPr>
            <w:tcW w:w="1134" w:type="dxa"/>
          </w:tcPr>
          <w:p w14:paraId="3B742100" w14:textId="77777777" w:rsidR="00DB4B2E" w:rsidRDefault="00DB4B2E" w:rsidP="00DB4B2E">
            <w:pPr>
              <w:rPr>
                <w:rFonts w:ascii="Arial" w:hAnsi="Arial" w:cs="Arial"/>
                <w:sz w:val="24"/>
              </w:rPr>
            </w:pPr>
          </w:p>
        </w:tc>
      </w:tr>
    </w:tbl>
    <w:p w14:paraId="180B2508" w14:textId="37ADBEC4" w:rsidR="00DB4B2E" w:rsidRDefault="00DB4B2E" w:rsidP="002D695D">
      <w:pPr>
        <w:tabs>
          <w:tab w:val="left" w:pos="2187"/>
        </w:tabs>
        <w:spacing w:line="360" w:lineRule="auto"/>
        <w:jc w:val="both"/>
        <w:rPr>
          <w:rFonts w:ascii="Arial" w:hAnsi="Arial" w:cs="Arial"/>
          <w:sz w:val="24"/>
        </w:rPr>
      </w:pPr>
    </w:p>
    <w:p w14:paraId="7E98755A" w14:textId="77777777" w:rsidR="00DB4B2E" w:rsidRDefault="00DB4B2E" w:rsidP="002D695D">
      <w:pPr>
        <w:tabs>
          <w:tab w:val="left" w:pos="2187"/>
        </w:tabs>
        <w:spacing w:line="360" w:lineRule="auto"/>
        <w:jc w:val="both"/>
        <w:rPr>
          <w:rFonts w:ascii="Arial" w:hAnsi="Arial" w:cs="Arial"/>
          <w:sz w:val="24"/>
        </w:rPr>
      </w:pPr>
    </w:p>
    <w:p w14:paraId="39DAE88B" w14:textId="77777777" w:rsidR="00DB4B2E" w:rsidRDefault="00DB4B2E" w:rsidP="002D695D">
      <w:pPr>
        <w:tabs>
          <w:tab w:val="left" w:pos="2187"/>
        </w:tabs>
        <w:spacing w:line="360" w:lineRule="auto"/>
        <w:jc w:val="both"/>
        <w:rPr>
          <w:rFonts w:ascii="Arial" w:hAnsi="Arial" w:cs="Arial"/>
          <w:sz w:val="24"/>
        </w:rPr>
      </w:pPr>
    </w:p>
    <w:p w14:paraId="1E17F73D" w14:textId="77777777" w:rsidR="00DB4B2E" w:rsidRDefault="00DB4B2E" w:rsidP="002D695D">
      <w:pPr>
        <w:tabs>
          <w:tab w:val="left" w:pos="2187"/>
        </w:tabs>
        <w:spacing w:line="360" w:lineRule="auto"/>
        <w:jc w:val="both"/>
        <w:rPr>
          <w:rFonts w:ascii="Arial" w:hAnsi="Arial" w:cs="Arial"/>
          <w:sz w:val="24"/>
        </w:rPr>
      </w:pPr>
    </w:p>
    <w:p w14:paraId="1874915D" w14:textId="77777777" w:rsidR="00DB4B2E" w:rsidRDefault="00DB4B2E" w:rsidP="002D695D">
      <w:pPr>
        <w:tabs>
          <w:tab w:val="left" w:pos="2187"/>
        </w:tabs>
        <w:spacing w:line="360" w:lineRule="auto"/>
        <w:jc w:val="both"/>
        <w:rPr>
          <w:rFonts w:ascii="Arial" w:hAnsi="Arial" w:cs="Arial"/>
          <w:sz w:val="24"/>
        </w:rPr>
      </w:pPr>
    </w:p>
    <w:p w14:paraId="625653BB" w14:textId="77777777" w:rsidR="00DB4B2E" w:rsidRDefault="00DB4B2E" w:rsidP="002D695D">
      <w:pPr>
        <w:tabs>
          <w:tab w:val="left" w:pos="2187"/>
        </w:tabs>
        <w:spacing w:line="360" w:lineRule="auto"/>
        <w:jc w:val="both"/>
        <w:rPr>
          <w:rFonts w:ascii="Arial" w:hAnsi="Arial" w:cs="Arial"/>
          <w:sz w:val="24"/>
        </w:rPr>
      </w:pPr>
    </w:p>
    <w:p w14:paraId="24D713D0" w14:textId="77777777" w:rsidR="00DB4B2E" w:rsidRDefault="00DB4B2E" w:rsidP="002D695D">
      <w:pPr>
        <w:tabs>
          <w:tab w:val="left" w:pos="2187"/>
        </w:tabs>
        <w:spacing w:line="360" w:lineRule="auto"/>
        <w:jc w:val="both"/>
        <w:rPr>
          <w:rFonts w:ascii="Arial" w:hAnsi="Arial" w:cs="Arial"/>
          <w:sz w:val="24"/>
        </w:rPr>
      </w:pPr>
    </w:p>
    <w:p w14:paraId="6A1FD519" w14:textId="77777777" w:rsidR="00DB4B2E" w:rsidRDefault="00DB4B2E" w:rsidP="002D695D">
      <w:pPr>
        <w:tabs>
          <w:tab w:val="left" w:pos="2187"/>
        </w:tabs>
        <w:spacing w:line="360" w:lineRule="auto"/>
        <w:jc w:val="both"/>
        <w:rPr>
          <w:rFonts w:ascii="Arial" w:hAnsi="Arial" w:cs="Arial"/>
          <w:sz w:val="24"/>
        </w:rPr>
      </w:pPr>
    </w:p>
    <w:p w14:paraId="623F054F" w14:textId="77777777" w:rsidR="00DB4B2E" w:rsidRDefault="00DB4B2E" w:rsidP="002D695D">
      <w:pPr>
        <w:tabs>
          <w:tab w:val="left" w:pos="2187"/>
        </w:tabs>
        <w:spacing w:line="360" w:lineRule="auto"/>
        <w:jc w:val="both"/>
        <w:rPr>
          <w:rFonts w:ascii="Arial" w:hAnsi="Arial" w:cs="Arial"/>
          <w:sz w:val="24"/>
        </w:rPr>
      </w:pPr>
    </w:p>
    <w:tbl>
      <w:tblPr>
        <w:tblStyle w:val="Tablaconcuadrcula"/>
        <w:tblpPr w:leftFromText="141" w:rightFromText="141" w:vertAnchor="text" w:horzAnchor="margin" w:tblpXSpec="center" w:tblpY="166"/>
        <w:tblW w:w="8080" w:type="dxa"/>
        <w:tblLayout w:type="fixed"/>
        <w:tblLook w:val="04A0" w:firstRow="1" w:lastRow="0" w:firstColumn="1" w:lastColumn="0" w:noHBand="0" w:noVBand="1"/>
      </w:tblPr>
      <w:tblGrid>
        <w:gridCol w:w="630"/>
        <w:gridCol w:w="1284"/>
        <w:gridCol w:w="1364"/>
        <w:gridCol w:w="1444"/>
        <w:gridCol w:w="1337"/>
        <w:gridCol w:w="1279"/>
        <w:gridCol w:w="742"/>
      </w:tblGrid>
      <w:tr w:rsidR="0055398E" w14:paraId="33229335" w14:textId="77777777" w:rsidTr="0055398E">
        <w:trPr>
          <w:trHeight w:val="416"/>
        </w:trPr>
        <w:tc>
          <w:tcPr>
            <w:tcW w:w="8080" w:type="dxa"/>
            <w:gridSpan w:val="7"/>
            <w:shd w:val="clear" w:color="auto" w:fill="DBE5F1" w:themeFill="accent1" w:themeFillTint="33"/>
          </w:tcPr>
          <w:p w14:paraId="017625AE" w14:textId="77777777" w:rsidR="0055398E" w:rsidRDefault="0055398E" w:rsidP="0055398E">
            <w:pPr>
              <w:jc w:val="center"/>
              <w:rPr>
                <w:rFonts w:ascii="Arial" w:hAnsi="Arial" w:cs="Arial"/>
                <w:b/>
                <w:sz w:val="24"/>
              </w:rPr>
            </w:pPr>
          </w:p>
          <w:p w14:paraId="2C9033DE" w14:textId="77777777" w:rsidR="0055398E" w:rsidRPr="007A53BF" w:rsidRDefault="0055398E" w:rsidP="0055398E">
            <w:pPr>
              <w:jc w:val="center"/>
              <w:rPr>
                <w:rFonts w:ascii="Arial" w:hAnsi="Arial" w:cs="Arial"/>
                <w:b/>
                <w:sz w:val="24"/>
              </w:rPr>
            </w:pPr>
            <w:r w:rsidRPr="007A53BF">
              <w:rPr>
                <w:rFonts w:ascii="Arial" w:hAnsi="Arial" w:cs="Arial"/>
                <w:b/>
                <w:sz w:val="24"/>
              </w:rPr>
              <w:t>OCTUBRE</w:t>
            </w:r>
          </w:p>
        </w:tc>
      </w:tr>
      <w:tr w:rsidR="0055398E" w14:paraId="2B799A85" w14:textId="77777777" w:rsidTr="0055398E">
        <w:trPr>
          <w:trHeight w:val="427"/>
        </w:trPr>
        <w:tc>
          <w:tcPr>
            <w:tcW w:w="630" w:type="dxa"/>
          </w:tcPr>
          <w:p w14:paraId="50762923" w14:textId="77777777" w:rsidR="0055398E" w:rsidRDefault="0055398E" w:rsidP="0055398E">
            <w:pPr>
              <w:rPr>
                <w:rFonts w:ascii="Arial" w:hAnsi="Arial" w:cs="Arial"/>
                <w:sz w:val="24"/>
              </w:rPr>
            </w:pPr>
            <w:r>
              <w:rPr>
                <w:rFonts w:ascii="Arial" w:hAnsi="Arial" w:cs="Arial"/>
                <w:sz w:val="24"/>
              </w:rPr>
              <w:t>D</w:t>
            </w:r>
          </w:p>
        </w:tc>
        <w:tc>
          <w:tcPr>
            <w:tcW w:w="1284" w:type="dxa"/>
          </w:tcPr>
          <w:p w14:paraId="601513D8" w14:textId="77777777" w:rsidR="0055398E" w:rsidRDefault="0055398E" w:rsidP="0055398E">
            <w:pPr>
              <w:rPr>
                <w:rFonts w:ascii="Arial" w:hAnsi="Arial" w:cs="Arial"/>
                <w:sz w:val="24"/>
              </w:rPr>
            </w:pPr>
            <w:r>
              <w:rPr>
                <w:rFonts w:ascii="Arial" w:hAnsi="Arial" w:cs="Arial"/>
                <w:sz w:val="24"/>
              </w:rPr>
              <w:t>L</w:t>
            </w:r>
          </w:p>
        </w:tc>
        <w:tc>
          <w:tcPr>
            <w:tcW w:w="1364" w:type="dxa"/>
          </w:tcPr>
          <w:p w14:paraId="23A72BD3" w14:textId="77777777" w:rsidR="0055398E" w:rsidRDefault="0055398E" w:rsidP="0055398E">
            <w:pPr>
              <w:rPr>
                <w:rFonts w:ascii="Arial" w:hAnsi="Arial" w:cs="Arial"/>
                <w:sz w:val="24"/>
              </w:rPr>
            </w:pPr>
            <w:r>
              <w:rPr>
                <w:rFonts w:ascii="Arial" w:hAnsi="Arial" w:cs="Arial"/>
                <w:sz w:val="24"/>
              </w:rPr>
              <w:t>M</w:t>
            </w:r>
          </w:p>
        </w:tc>
        <w:tc>
          <w:tcPr>
            <w:tcW w:w="1444" w:type="dxa"/>
          </w:tcPr>
          <w:p w14:paraId="5F48F5C6" w14:textId="77777777" w:rsidR="0055398E" w:rsidRDefault="0055398E" w:rsidP="0055398E">
            <w:pPr>
              <w:rPr>
                <w:rFonts w:ascii="Arial" w:hAnsi="Arial" w:cs="Arial"/>
                <w:sz w:val="24"/>
              </w:rPr>
            </w:pPr>
            <w:r>
              <w:rPr>
                <w:rFonts w:ascii="Arial" w:hAnsi="Arial" w:cs="Arial"/>
                <w:sz w:val="24"/>
              </w:rPr>
              <w:t>M</w:t>
            </w:r>
          </w:p>
        </w:tc>
        <w:tc>
          <w:tcPr>
            <w:tcW w:w="1337" w:type="dxa"/>
          </w:tcPr>
          <w:p w14:paraId="0D0988A5" w14:textId="77777777" w:rsidR="0055398E" w:rsidRDefault="0055398E" w:rsidP="0055398E">
            <w:pPr>
              <w:rPr>
                <w:rFonts w:ascii="Arial" w:hAnsi="Arial" w:cs="Arial"/>
                <w:sz w:val="24"/>
              </w:rPr>
            </w:pPr>
            <w:r>
              <w:rPr>
                <w:rFonts w:ascii="Arial" w:hAnsi="Arial" w:cs="Arial"/>
                <w:sz w:val="24"/>
              </w:rPr>
              <w:t>J</w:t>
            </w:r>
          </w:p>
        </w:tc>
        <w:tc>
          <w:tcPr>
            <w:tcW w:w="1279" w:type="dxa"/>
          </w:tcPr>
          <w:p w14:paraId="41CBE201" w14:textId="77777777" w:rsidR="0055398E" w:rsidRDefault="0055398E" w:rsidP="0055398E">
            <w:pPr>
              <w:rPr>
                <w:rFonts w:ascii="Arial" w:hAnsi="Arial" w:cs="Arial"/>
                <w:sz w:val="24"/>
              </w:rPr>
            </w:pPr>
            <w:r>
              <w:rPr>
                <w:rFonts w:ascii="Arial" w:hAnsi="Arial" w:cs="Arial"/>
                <w:sz w:val="24"/>
              </w:rPr>
              <w:t>V</w:t>
            </w:r>
          </w:p>
        </w:tc>
        <w:tc>
          <w:tcPr>
            <w:tcW w:w="742" w:type="dxa"/>
          </w:tcPr>
          <w:p w14:paraId="45AA25D1" w14:textId="77777777" w:rsidR="0055398E" w:rsidRDefault="0055398E" w:rsidP="0055398E">
            <w:pPr>
              <w:rPr>
                <w:rFonts w:ascii="Arial" w:hAnsi="Arial" w:cs="Arial"/>
                <w:sz w:val="24"/>
              </w:rPr>
            </w:pPr>
            <w:r>
              <w:rPr>
                <w:rFonts w:ascii="Arial" w:hAnsi="Arial" w:cs="Arial"/>
                <w:sz w:val="24"/>
              </w:rPr>
              <w:t>S</w:t>
            </w:r>
          </w:p>
        </w:tc>
      </w:tr>
      <w:tr w:rsidR="0055398E" w14:paraId="0B7310BD" w14:textId="77777777" w:rsidTr="0055398E">
        <w:trPr>
          <w:trHeight w:val="567"/>
        </w:trPr>
        <w:tc>
          <w:tcPr>
            <w:tcW w:w="630" w:type="dxa"/>
          </w:tcPr>
          <w:p w14:paraId="7329A0C0" w14:textId="77777777" w:rsidR="0055398E" w:rsidRDefault="0055398E" w:rsidP="0055398E">
            <w:pPr>
              <w:rPr>
                <w:rFonts w:ascii="Arial" w:hAnsi="Arial" w:cs="Arial"/>
                <w:sz w:val="24"/>
              </w:rPr>
            </w:pPr>
          </w:p>
        </w:tc>
        <w:tc>
          <w:tcPr>
            <w:tcW w:w="1284" w:type="dxa"/>
          </w:tcPr>
          <w:p w14:paraId="1F08EE0C" w14:textId="77777777" w:rsidR="0055398E" w:rsidRDefault="0055398E" w:rsidP="0055398E">
            <w:pPr>
              <w:rPr>
                <w:rFonts w:ascii="Arial" w:hAnsi="Arial" w:cs="Arial"/>
                <w:sz w:val="24"/>
              </w:rPr>
            </w:pPr>
          </w:p>
        </w:tc>
        <w:tc>
          <w:tcPr>
            <w:tcW w:w="1364" w:type="dxa"/>
          </w:tcPr>
          <w:p w14:paraId="34A1056C" w14:textId="77777777" w:rsidR="0055398E" w:rsidRDefault="0055398E" w:rsidP="0055398E">
            <w:pPr>
              <w:rPr>
                <w:rFonts w:ascii="Arial" w:hAnsi="Arial" w:cs="Arial"/>
                <w:sz w:val="24"/>
              </w:rPr>
            </w:pPr>
          </w:p>
        </w:tc>
        <w:tc>
          <w:tcPr>
            <w:tcW w:w="1444" w:type="dxa"/>
          </w:tcPr>
          <w:p w14:paraId="2059C984" w14:textId="77777777" w:rsidR="0055398E" w:rsidRDefault="0055398E" w:rsidP="0055398E">
            <w:pPr>
              <w:rPr>
                <w:rFonts w:ascii="Arial" w:hAnsi="Arial" w:cs="Arial"/>
                <w:sz w:val="24"/>
              </w:rPr>
            </w:pPr>
          </w:p>
        </w:tc>
        <w:tc>
          <w:tcPr>
            <w:tcW w:w="1337" w:type="dxa"/>
          </w:tcPr>
          <w:p w14:paraId="2F949928" w14:textId="77777777" w:rsidR="0055398E" w:rsidRDefault="0055398E" w:rsidP="0055398E">
            <w:pPr>
              <w:rPr>
                <w:rFonts w:ascii="Arial" w:hAnsi="Arial" w:cs="Arial"/>
                <w:sz w:val="24"/>
              </w:rPr>
            </w:pPr>
          </w:p>
        </w:tc>
        <w:tc>
          <w:tcPr>
            <w:tcW w:w="1279" w:type="dxa"/>
          </w:tcPr>
          <w:p w14:paraId="72C462F4" w14:textId="77777777" w:rsidR="0055398E" w:rsidRDefault="0055398E" w:rsidP="0055398E">
            <w:pPr>
              <w:rPr>
                <w:rFonts w:ascii="Arial" w:hAnsi="Arial" w:cs="Arial"/>
                <w:sz w:val="24"/>
              </w:rPr>
            </w:pPr>
          </w:p>
        </w:tc>
        <w:tc>
          <w:tcPr>
            <w:tcW w:w="742" w:type="dxa"/>
            <w:shd w:val="clear" w:color="auto" w:fill="C4BC96" w:themeFill="background2" w:themeFillShade="BF"/>
          </w:tcPr>
          <w:p w14:paraId="73151928" w14:textId="77777777" w:rsidR="0055398E" w:rsidRDefault="0055398E" w:rsidP="0055398E">
            <w:pPr>
              <w:rPr>
                <w:rFonts w:ascii="Arial" w:hAnsi="Arial" w:cs="Arial"/>
                <w:sz w:val="24"/>
              </w:rPr>
            </w:pPr>
            <w:r>
              <w:rPr>
                <w:rFonts w:ascii="Arial" w:hAnsi="Arial" w:cs="Arial"/>
                <w:sz w:val="24"/>
              </w:rPr>
              <w:t>1</w:t>
            </w:r>
          </w:p>
        </w:tc>
      </w:tr>
      <w:tr w:rsidR="0055398E" w14:paraId="72805087" w14:textId="77777777" w:rsidTr="0055398E">
        <w:trPr>
          <w:trHeight w:val="567"/>
        </w:trPr>
        <w:tc>
          <w:tcPr>
            <w:tcW w:w="630" w:type="dxa"/>
            <w:shd w:val="clear" w:color="auto" w:fill="C4BC96" w:themeFill="background2" w:themeFillShade="BF"/>
          </w:tcPr>
          <w:p w14:paraId="5855EA37" w14:textId="77777777" w:rsidR="0055398E" w:rsidRDefault="0055398E" w:rsidP="0055398E">
            <w:pPr>
              <w:rPr>
                <w:rFonts w:ascii="Arial" w:hAnsi="Arial" w:cs="Arial"/>
                <w:sz w:val="24"/>
              </w:rPr>
            </w:pPr>
            <w:r>
              <w:rPr>
                <w:rFonts w:ascii="Arial" w:hAnsi="Arial" w:cs="Arial"/>
                <w:sz w:val="24"/>
              </w:rPr>
              <w:t>2</w:t>
            </w:r>
          </w:p>
        </w:tc>
        <w:tc>
          <w:tcPr>
            <w:tcW w:w="1284" w:type="dxa"/>
            <w:shd w:val="clear" w:color="auto" w:fill="B2A1C7" w:themeFill="accent4" w:themeFillTint="99"/>
          </w:tcPr>
          <w:p w14:paraId="73072BB9" w14:textId="77777777" w:rsidR="0055398E" w:rsidRDefault="0055398E" w:rsidP="0055398E">
            <w:pPr>
              <w:rPr>
                <w:rFonts w:ascii="Arial" w:hAnsi="Arial" w:cs="Arial"/>
                <w:sz w:val="24"/>
              </w:rPr>
            </w:pPr>
            <w:r>
              <w:rPr>
                <w:rFonts w:ascii="Arial" w:hAnsi="Arial" w:cs="Arial"/>
                <w:sz w:val="24"/>
              </w:rPr>
              <w:t>3</w:t>
            </w:r>
          </w:p>
          <w:p w14:paraId="7525600D" w14:textId="77777777" w:rsidR="0055398E" w:rsidRDefault="0055398E" w:rsidP="0055398E">
            <w:pPr>
              <w:rPr>
                <w:rFonts w:ascii="Arial" w:hAnsi="Arial" w:cs="Arial"/>
                <w:sz w:val="24"/>
              </w:rPr>
            </w:pPr>
          </w:p>
          <w:p w14:paraId="35E2B8B3" w14:textId="77777777" w:rsidR="0055398E" w:rsidRPr="00941F3C" w:rsidRDefault="0055398E" w:rsidP="0055398E">
            <w:pPr>
              <w:rPr>
                <w:rFonts w:ascii="Arial" w:hAnsi="Arial" w:cs="Arial"/>
                <w:b/>
                <w:sz w:val="24"/>
              </w:rPr>
            </w:pPr>
            <w:r w:rsidRPr="00CC0DD7">
              <w:rPr>
                <w:rFonts w:ascii="Arial" w:hAnsi="Arial" w:cs="Arial"/>
                <w:b/>
              </w:rPr>
              <w:t>Día trece</w:t>
            </w:r>
          </w:p>
        </w:tc>
        <w:tc>
          <w:tcPr>
            <w:tcW w:w="1364" w:type="dxa"/>
            <w:shd w:val="clear" w:color="auto" w:fill="B2A1C7" w:themeFill="accent4" w:themeFillTint="99"/>
          </w:tcPr>
          <w:p w14:paraId="55D48D1C" w14:textId="77777777" w:rsidR="0055398E" w:rsidRDefault="0055398E" w:rsidP="0055398E">
            <w:pPr>
              <w:rPr>
                <w:rFonts w:ascii="Arial" w:hAnsi="Arial" w:cs="Arial"/>
                <w:sz w:val="24"/>
              </w:rPr>
            </w:pPr>
            <w:r>
              <w:rPr>
                <w:rFonts w:ascii="Arial" w:hAnsi="Arial" w:cs="Arial"/>
                <w:sz w:val="24"/>
              </w:rPr>
              <w:t>4</w:t>
            </w:r>
          </w:p>
          <w:p w14:paraId="56363C18" w14:textId="77777777" w:rsidR="0055398E" w:rsidRDefault="0055398E" w:rsidP="0055398E">
            <w:pPr>
              <w:rPr>
                <w:rFonts w:ascii="Arial" w:hAnsi="Arial" w:cs="Arial"/>
                <w:sz w:val="24"/>
              </w:rPr>
            </w:pPr>
          </w:p>
          <w:p w14:paraId="79AC4526" w14:textId="77777777" w:rsidR="0055398E" w:rsidRPr="00CC0DD7" w:rsidRDefault="0055398E" w:rsidP="0055398E">
            <w:pPr>
              <w:rPr>
                <w:rFonts w:ascii="Arial" w:hAnsi="Arial" w:cs="Arial"/>
                <w:b/>
              </w:rPr>
            </w:pPr>
            <w:r w:rsidRPr="00CC0DD7">
              <w:rPr>
                <w:rFonts w:ascii="Arial" w:hAnsi="Arial" w:cs="Arial"/>
                <w:b/>
              </w:rPr>
              <w:t>Día catorce</w:t>
            </w:r>
          </w:p>
          <w:p w14:paraId="60E5BA3D" w14:textId="77777777" w:rsidR="0055398E" w:rsidRDefault="0055398E" w:rsidP="0055398E">
            <w:pPr>
              <w:rPr>
                <w:rFonts w:ascii="Arial" w:hAnsi="Arial" w:cs="Arial"/>
                <w:sz w:val="24"/>
              </w:rPr>
            </w:pPr>
          </w:p>
        </w:tc>
        <w:tc>
          <w:tcPr>
            <w:tcW w:w="1444" w:type="dxa"/>
            <w:shd w:val="clear" w:color="auto" w:fill="B2A1C7" w:themeFill="accent4" w:themeFillTint="99"/>
          </w:tcPr>
          <w:p w14:paraId="6826A4AD" w14:textId="77777777" w:rsidR="0055398E" w:rsidRDefault="0055398E" w:rsidP="0055398E">
            <w:pPr>
              <w:rPr>
                <w:rFonts w:ascii="Arial" w:hAnsi="Arial" w:cs="Arial"/>
                <w:sz w:val="24"/>
              </w:rPr>
            </w:pPr>
            <w:r>
              <w:rPr>
                <w:rFonts w:ascii="Arial" w:hAnsi="Arial" w:cs="Arial"/>
                <w:sz w:val="24"/>
              </w:rPr>
              <w:t>5</w:t>
            </w:r>
          </w:p>
          <w:p w14:paraId="2D887DFB" w14:textId="77777777" w:rsidR="0055398E" w:rsidRDefault="0055398E" w:rsidP="0055398E">
            <w:pPr>
              <w:rPr>
                <w:rFonts w:ascii="Arial" w:hAnsi="Arial" w:cs="Arial"/>
                <w:sz w:val="24"/>
              </w:rPr>
            </w:pPr>
          </w:p>
          <w:p w14:paraId="6855C6B2" w14:textId="77777777" w:rsidR="0055398E" w:rsidRPr="00941F3C" w:rsidRDefault="0055398E" w:rsidP="0055398E">
            <w:pPr>
              <w:rPr>
                <w:rFonts w:ascii="Arial" w:hAnsi="Arial" w:cs="Arial"/>
                <w:b/>
                <w:sz w:val="24"/>
              </w:rPr>
            </w:pPr>
            <w:r w:rsidRPr="00CC0DD7">
              <w:rPr>
                <w:rFonts w:ascii="Arial" w:hAnsi="Arial" w:cs="Arial"/>
                <w:b/>
              </w:rPr>
              <w:t>Día quince</w:t>
            </w:r>
          </w:p>
        </w:tc>
        <w:tc>
          <w:tcPr>
            <w:tcW w:w="1337" w:type="dxa"/>
            <w:shd w:val="clear" w:color="auto" w:fill="B2A1C7" w:themeFill="accent4" w:themeFillTint="99"/>
          </w:tcPr>
          <w:p w14:paraId="3DB48390" w14:textId="77777777" w:rsidR="0055398E" w:rsidRDefault="0055398E" w:rsidP="0055398E">
            <w:pPr>
              <w:rPr>
                <w:rFonts w:ascii="Arial" w:hAnsi="Arial" w:cs="Arial"/>
                <w:sz w:val="24"/>
              </w:rPr>
            </w:pPr>
            <w:r>
              <w:rPr>
                <w:rFonts w:ascii="Arial" w:hAnsi="Arial" w:cs="Arial"/>
                <w:sz w:val="24"/>
              </w:rPr>
              <w:t>6</w:t>
            </w:r>
          </w:p>
          <w:p w14:paraId="5128108A" w14:textId="77777777" w:rsidR="0055398E" w:rsidRDefault="0055398E" w:rsidP="0055398E">
            <w:pPr>
              <w:rPr>
                <w:rFonts w:ascii="Arial" w:hAnsi="Arial" w:cs="Arial"/>
                <w:sz w:val="24"/>
              </w:rPr>
            </w:pPr>
          </w:p>
          <w:p w14:paraId="090F6730" w14:textId="77777777" w:rsidR="0055398E" w:rsidRPr="00941F3C" w:rsidRDefault="0055398E" w:rsidP="0055398E">
            <w:pPr>
              <w:rPr>
                <w:rFonts w:ascii="Arial" w:hAnsi="Arial" w:cs="Arial"/>
                <w:b/>
                <w:sz w:val="24"/>
              </w:rPr>
            </w:pPr>
            <w:r w:rsidRPr="00CC0DD7">
              <w:rPr>
                <w:rFonts w:ascii="Arial" w:hAnsi="Arial" w:cs="Arial"/>
                <w:b/>
              </w:rPr>
              <w:t>Día dieciséis</w:t>
            </w:r>
          </w:p>
        </w:tc>
        <w:tc>
          <w:tcPr>
            <w:tcW w:w="1279" w:type="dxa"/>
            <w:shd w:val="clear" w:color="auto" w:fill="B2A1C7" w:themeFill="accent4" w:themeFillTint="99"/>
          </w:tcPr>
          <w:p w14:paraId="2EF642E1" w14:textId="77777777" w:rsidR="0055398E" w:rsidRDefault="0055398E" w:rsidP="0055398E">
            <w:pPr>
              <w:rPr>
                <w:rFonts w:ascii="Arial" w:hAnsi="Arial" w:cs="Arial"/>
                <w:sz w:val="24"/>
              </w:rPr>
            </w:pPr>
            <w:r>
              <w:rPr>
                <w:rFonts w:ascii="Arial" w:hAnsi="Arial" w:cs="Arial"/>
                <w:sz w:val="24"/>
              </w:rPr>
              <w:t>7</w:t>
            </w:r>
          </w:p>
          <w:p w14:paraId="38706C2F" w14:textId="77777777" w:rsidR="0055398E" w:rsidRDefault="0055398E" w:rsidP="0055398E">
            <w:pPr>
              <w:rPr>
                <w:rFonts w:ascii="Arial" w:hAnsi="Arial" w:cs="Arial"/>
                <w:sz w:val="24"/>
              </w:rPr>
            </w:pPr>
          </w:p>
          <w:p w14:paraId="4BF314A0" w14:textId="77777777" w:rsidR="0055398E" w:rsidRPr="00941F3C" w:rsidRDefault="0055398E" w:rsidP="0055398E">
            <w:pPr>
              <w:rPr>
                <w:rFonts w:ascii="Arial" w:hAnsi="Arial" w:cs="Arial"/>
                <w:b/>
                <w:sz w:val="24"/>
              </w:rPr>
            </w:pPr>
            <w:r w:rsidRPr="00CC0DD7">
              <w:rPr>
                <w:rFonts w:ascii="Arial" w:hAnsi="Arial" w:cs="Arial"/>
                <w:b/>
              </w:rPr>
              <w:t>Día diecisiete</w:t>
            </w:r>
          </w:p>
        </w:tc>
        <w:tc>
          <w:tcPr>
            <w:tcW w:w="742" w:type="dxa"/>
            <w:shd w:val="clear" w:color="auto" w:fill="C4BC96" w:themeFill="background2" w:themeFillShade="BF"/>
          </w:tcPr>
          <w:p w14:paraId="476B17E4" w14:textId="77777777" w:rsidR="0055398E" w:rsidRDefault="0055398E" w:rsidP="0055398E">
            <w:pPr>
              <w:rPr>
                <w:rFonts w:ascii="Arial" w:hAnsi="Arial" w:cs="Arial"/>
                <w:sz w:val="24"/>
              </w:rPr>
            </w:pPr>
            <w:r>
              <w:rPr>
                <w:rFonts w:ascii="Arial" w:hAnsi="Arial" w:cs="Arial"/>
                <w:sz w:val="24"/>
              </w:rPr>
              <w:t>8</w:t>
            </w:r>
          </w:p>
        </w:tc>
      </w:tr>
      <w:tr w:rsidR="0055398E" w14:paraId="4E3BE584" w14:textId="77777777" w:rsidTr="0055398E">
        <w:trPr>
          <w:trHeight w:val="1042"/>
        </w:trPr>
        <w:tc>
          <w:tcPr>
            <w:tcW w:w="630" w:type="dxa"/>
            <w:shd w:val="clear" w:color="auto" w:fill="C4BC96" w:themeFill="background2" w:themeFillShade="BF"/>
          </w:tcPr>
          <w:p w14:paraId="3F9E4EEB" w14:textId="77777777" w:rsidR="0055398E" w:rsidRDefault="0055398E" w:rsidP="0055398E">
            <w:pPr>
              <w:rPr>
                <w:rFonts w:ascii="Arial" w:hAnsi="Arial" w:cs="Arial"/>
                <w:sz w:val="24"/>
              </w:rPr>
            </w:pPr>
            <w:r>
              <w:rPr>
                <w:rFonts w:ascii="Arial" w:hAnsi="Arial" w:cs="Arial"/>
                <w:sz w:val="24"/>
              </w:rPr>
              <w:t>9</w:t>
            </w:r>
          </w:p>
        </w:tc>
        <w:tc>
          <w:tcPr>
            <w:tcW w:w="1284" w:type="dxa"/>
            <w:shd w:val="clear" w:color="auto" w:fill="B2A1C7" w:themeFill="accent4" w:themeFillTint="99"/>
          </w:tcPr>
          <w:p w14:paraId="37465B39" w14:textId="77777777" w:rsidR="0055398E" w:rsidRDefault="0055398E" w:rsidP="0055398E">
            <w:pPr>
              <w:rPr>
                <w:rFonts w:ascii="Arial" w:hAnsi="Arial" w:cs="Arial"/>
                <w:sz w:val="24"/>
              </w:rPr>
            </w:pPr>
            <w:r>
              <w:rPr>
                <w:rFonts w:ascii="Arial" w:hAnsi="Arial" w:cs="Arial"/>
                <w:sz w:val="24"/>
              </w:rPr>
              <w:t>10</w:t>
            </w:r>
          </w:p>
          <w:p w14:paraId="599645C4" w14:textId="77777777" w:rsidR="0055398E" w:rsidRPr="00CC0DD7" w:rsidRDefault="0055398E" w:rsidP="0055398E">
            <w:pPr>
              <w:rPr>
                <w:rFonts w:ascii="Arial" w:hAnsi="Arial" w:cs="Arial"/>
                <w:b/>
                <w:sz w:val="20"/>
              </w:rPr>
            </w:pPr>
            <w:r w:rsidRPr="00CC0DD7">
              <w:rPr>
                <w:rFonts w:ascii="Arial" w:hAnsi="Arial" w:cs="Arial"/>
                <w:b/>
                <w:sz w:val="20"/>
              </w:rPr>
              <w:t>Día dieciocho</w:t>
            </w:r>
          </w:p>
          <w:p w14:paraId="74FF4F36" w14:textId="77777777" w:rsidR="0055398E" w:rsidRDefault="0055398E" w:rsidP="0055398E">
            <w:pPr>
              <w:rPr>
                <w:rFonts w:ascii="Arial" w:hAnsi="Arial" w:cs="Arial"/>
                <w:sz w:val="24"/>
              </w:rPr>
            </w:pPr>
          </w:p>
        </w:tc>
        <w:tc>
          <w:tcPr>
            <w:tcW w:w="1364" w:type="dxa"/>
            <w:shd w:val="clear" w:color="auto" w:fill="B2A1C7" w:themeFill="accent4" w:themeFillTint="99"/>
          </w:tcPr>
          <w:p w14:paraId="018EB0C0" w14:textId="77777777" w:rsidR="0055398E" w:rsidRDefault="0055398E" w:rsidP="0055398E">
            <w:pPr>
              <w:rPr>
                <w:rFonts w:ascii="Arial" w:hAnsi="Arial" w:cs="Arial"/>
                <w:sz w:val="24"/>
              </w:rPr>
            </w:pPr>
            <w:r>
              <w:rPr>
                <w:rFonts w:ascii="Arial" w:hAnsi="Arial" w:cs="Arial"/>
                <w:sz w:val="24"/>
              </w:rPr>
              <w:t>11</w:t>
            </w:r>
          </w:p>
          <w:p w14:paraId="7FA7C3AD" w14:textId="77777777" w:rsidR="0055398E" w:rsidRPr="00941F3C" w:rsidRDefault="0055398E" w:rsidP="0055398E">
            <w:pPr>
              <w:rPr>
                <w:rFonts w:ascii="Arial" w:hAnsi="Arial" w:cs="Arial"/>
                <w:b/>
                <w:sz w:val="24"/>
              </w:rPr>
            </w:pPr>
            <w:r w:rsidRPr="00CC0DD7">
              <w:rPr>
                <w:rFonts w:ascii="Arial" w:hAnsi="Arial" w:cs="Arial"/>
                <w:b/>
                <w:sz w:val="20"/>
              </w:rPr>
              <w:t>Día diecinueve</w:t>
            </w:r>
          </w:p>
        </w:tc>
        <w:tc>
          <w:tcPr>
            <w:tcW w:w="1444" w:type="dxa"/>
            <w:shd w:val="clear" w:color="auto" w:fill="C4BC96" w:themeFill="background2" w:themeFillShade="BF"/>
          </w:tcPr>
          <w:p w14:paraId="620AB07E" w14:textId="77777777" w:rsidR="0055398E" w:rsidRDefault="0055398E" w:rsidP="0055398E">
            <w:pPr>
              <w:rPr>
                <w:rFonts w:ascii="Arial" w:hAnsi="Arial" w:cs="Arial"/>
                <w:sz w:val="24"/>
              </w:rPr>
            </w:pPr>
            <w:r>
              <w:rPr>
                <w:rFonts w:ascii="Arial" w:hAnsi="Arial" w:cs="Arial"/>
                <w:sz w:val="24"/>
              </w:rPr>
              <w:t>12</w:t>
            </w:r>
          </w:p>
        </w:tc>
        <w:tc>
          <w:tcPr>
            <w:tcW w:w="1337" w:type="dxa"/>
            <w:shd w:val="clear" w:color="auto" w:fill="B2A1C7" w:themeFill="accent4" w:themeFillTint="99"/>
          </w:tcPr>
          <w:p w14:paraId="4F21BA4C" w14:textId="77777777" w:rsidR="0055398E" w:rsidRDefault="0055398E" w:rsidP="0055398E">
            <w:pPr>
              <w:rPr>
                <w:rFonts w:ascii="Arial" w:hAnsi="Arial" w:cs="Arial"/>
                <w:sz w:val="24"/>
              </w:rPr>
            </w:pPr>
            <w:r>
              <w:rPr>
                <w:rFonts w:ascii="Arial" w:hAnsi="Arial" w:cs="Arial"/>
                <w:sz w:val="24"/>
              </w:rPr>
              <w:t>13</w:t>
            </w:r>
          </w:p>
          <w:p w14:paraId="5C0346B6" w14:textId="77777777" w:rsidR="0055398E" w:rsidRPr="00CC0DD7" w:rsidRDefault="0055398E" w:rsidP="0055398E">
            <w:pPr>
              <w:rPr>
                <w:rFonts w:ascii="Arial" w:hAnsi="Arial" w:cs="Arial"/>
                <w:b/>
              </w:rPr>
            </w:pPr>
            <w:r w:rsidRPr="00CC0DD7">
              <w:rPr>
                <w:rFonts w:ascii="Arial" w:hAnsi="Arial" w:cs="Arial"/>
                <w:b/>
              </w:rPr>
              <w:t xml:space="preserve">Día </w:t>
            </w:r>
          </w:p>
          <w:p w14:paraId="04BCA56A" w14:textId="77777777" w:rsidR="0055398E" w:rsidRDefault="0055398E" w:rsidP="0055398E">
            <w:pPr>
              <w:rPr>
                <w:rFonts w:ascii="Arial" w:hAnsi="Arial" w:cs="Arial"/>
                <w:sz w:val="24"/>
              </w:rPr>
            </w:pPr>
            <w:r w:rsidRPr="00CC0DD7">
              <w:rPr>
                <w:rFonts w:ascii="Arial" w:hAnsi="Arial" w:cs="Arial"/>
                <w:b/>
              </w:rPr>
              <w:t>veinte</w:t>
            </w:r>
          </w:p>
        </w:tc>
        <w:tc>
          <w:tcPr>
            <w:tcW w:w="1279" w:type="dxa"/>
            <w:shd w:val="clear" w:color="auto" w:fill="B2A1C7" w:themeFill="accent4" w:themeFillTint="99"/>
          </w:tcPr>
          <w:p w14:paraId="54227932" w14:textId="77777777" w:rsidR="0055398E" w:rsidRDefault="0055398E" w:rsidP="0055398E">
            <w:pPr>
              <w:rPr>
                <w:rFonts w:ascii="Arial" w:hAnsi="Arial" w:cs="Arial"/>
                <w:sz w:val="24"/>
              </w:rPr>
            </w:pPr>
            <w:r>
              <w:rPr>
                <w:rFonts w:ascii="Arial" w:hAnsi="Arial" w:cs="Arial"/>
                <w:sz w:val="24"/>
              </w:rPr>
              <w:t>14</w:t>
            </w:r>
          </w:p>
          <w:p w14:paraId="420078DA" w14:textId="77777777" w:rsidR="0055398E" w:rsidRPr="00CC0DD7" w:rsidRDefault="0055398E" w:rsidP="0055398E">
            <w:pPr>
              <w:rPr>
                <w:rFonts w:ascii="Arial" w:hAnsi="Arial" w:cs="Arial"/>
                <w:b/>
                <w:sz w:val="20"/>
              </w:rPr>
            </w:pPr>
            <w:r w:rsidRPr="00CC0DD7">
              <w:rPr>
                <w:rFonts w:ascii="Arial" w:hAnsi="Arial" w:cs="Arial"/>
                <w:b/>
                <w:sz w:val="20"/>
              </w:rPr>
              <w:t xml:space="preserve">Día </w:t>
            </w:r>
          </w:p>
          <w:p w14:paraId="27291937" w14:textId="77777777" w:rsidR="0055398E" w:rsidRDefault="0055398E" w:rsidP="0055398E">
            <w:pPr>
              <w:rPr>
                <w:rFonts w:ascii="Arial" w:hAnsi="Arial" w:cs="Arial"/>
                <w:sz w:val="24"/>
              </w:rPr>
            </w:pPr>
            <w:r w:rsidRPr="00CC0DD7">
              <w:rPr>
                <w:rFonts w:ascii="Arial" w:hAnsi="Arial" w:cs="Arial"/>
                <w:b/>
                <w:sz w:val="20"/>
              </w:rPr>
              <w:t>veintiuno</w:t>
            </w:r>
          </w:p>
        </w:tc>
        <w:tc>
          <w:tcPr>
            <w:tcW w:w="742" w:type="dxa"/>
            <w:shd w:val="clear" w:color="auto" w:fill="C4BC96" w:themeFill="background2" w:themeFillShade="BF"/>
          </w:tcPr>
          <w:p w14:paraId="6EB91A89" w14:textId="77777777" w:rsidR="0055398E" w:rsidRDefault="0055398E" w:rsidP="0055398E">
            <w:pPr>
              <w:rPr>
                <w:rFonts w:ascii="Arial" w:hAnsi="Arial" w:cs="Arial"/>
                <w:sz w:val="24"/>
              </w:rPr>
            </w:pPr>
            <w:r>
              <w:rPr>
                <w:rFonts w:ascii="Arial" w:hAnsi="Arial" w:cs="Arial"/>
                <w:sz w:val="24"/>
              </w:rPr>
              <w:t>15</w:t>
            </w:r>
          </w:p>
        </w:tc>
      </w:tr>
      <w:tr w:rsidR="0055398E" w14:paraId="3484D57E" w14:textId="77777777" w:rsidTr="0055398E">
        <w:trPr>
          <w:trHeight w:val="567"/>
        </w:trPr>
        <w:tc>
          <w:tcPr>
            <w:tcW w:w="630" w:type="dxa"/>
            <w:shd w:val="clear" w:color="auto" w:fill="C4BC96" w:themeFill="background2" w:themeFillShade="BF"/>
          </w:tcPr>
          <w:p w14:paraId="6AE0DA95" w14:textId="77777777" w:rsidR="0055398E" w:rsidRDefault="0055398E" w:rsidP="0055398E">
            <w:pPr>
              <w:rPr>
                <w:rFonts w:ascii="Arial" w:hAnsi="Arial" w:cs="Arial"/>
                <w:sz w:val="24"/>
              </w:rPr>
            </w:pPr>
            <w:r>
              <w:rPr>
                <w:rFonts w:ascii="Arial" w:hAnsi="Arial" w:cs="Arial"/>
                <w:sz w:val="24"/>
              </w:rPr>
              <w:t>16</w:t>
            </w:r>
          </w:p>
        </w:tc>
        <w:tc>
          <w:tcPr>
            <w:tcW w:w="1284" w:type="dxa"/>
            <w:shd w:val="clear" w:color="auto" w:fill="B2A1C7" w:themeFill="accent4" w:themeFillTint="99"/>
          </w:tcPr>
          <w:p w14:paraId="4F2E79F8" w14:textId="77777777" w:rsidR="0055398E" w:rsidRDefault="0055398E" w:rsidP="0055398E">
            <w:pPr>
              <w:rPr>
                <w:rFonts w:ascii="Arial" w:hAnsi="Arial" w:cs="Arial"/>
                <w:sz w:val="24"/>
              </w:rPr>
            </w:pPr>
            <w:r>
              <w:rPr>
                <w:rFonts w:ascii="Arial" w:hAnsi="Arial" w:cs="Arial"/>
                <w:sz w:val="24"/>
              </w:rPr>
              <w:t>17</w:t>
            </w:r>
          </w:p>
          <w:p w14:paraId="4509F20A" w14:textId="77777777" w:rsidR="0055398E" w:rsidRPr="00CC0DD7" w:rsidRDefault="0055398E" w:rsidP="0055398E">
            <w:pPr>
              <w:rPr>
                <w:rFonts w:ascii="Arial" w:hAnsi="Arial" w:cs="Arial"/>
                <w:b/>
                <w:sz w:val="20"/>
              </w:rPr>
            </w:pPr>
            <w:r w:rsidRPr="00CC0DD7">
              <w:rPr>
                <w:rFonts w:ascii="Arial" w:hAnsi="Arial" w:cs="Arial"/>
                <w:b/>
                <w:sz w:val="20"/>
              </w:rPr>
              <w:t xml:space="preserve">Día </w:t>
            </w:r>
          </w:p>
          <w:p w14:paraId="29974665" w14:textId="77777777" w:rsidR="0055398E" w:rsidRPr="00CC0DD7" w:rsidRDefault="0055398E" w:rsidP="0055398E">
            <w:pPr>
              <w:rPr>
                <w:rFonts w:ascii="Arial" w:hAnsi="Arial" w:cs="Arial"/>
                <w:b/>
                <w:sz w:val="20"/>
              </w:rPr>
            </w:pPr>
            <w:r w:rsidRPr="00CC0DD7">
              <w:rPr>
                <w:rFonts w:ascii="Arial" w:hAnsi="Arial" w:cs="Arial"/>
                <w:b/>
                <w:sz w:val="20"/>
              </w:rPr>
              <w:t>Veintidós</w:t>
            </w:r>
          </w:p>
          <w:p w14:paraId="2B746596" w14:textId="77777777" w:rsidR="0055398E" w:rsidRDefault="0055398E" w:rsidP="0055398E">
            <w:pPr>
              <w:rPr>
                <w:rFonts w:ascii="Arial" w:hAnsi="Arial" w:cs="Arial"/>
                <w:sz w:val="24"/>
              </w:rPr>
            </w:pPr>
          </w:p>
        </w:tc>
        <w:tc>
          <w:tcPr>
            <w:tcW w:w="1364" w:type="dxa"/>
            <w:shd w:val="clear" w:color="auto" w:fill="B2A1C7" w:themeFill="accent4" w:themeFillTint="99"/>
          </w:tcPr>
          <w:p w14:paraId="2B69FD9D" w14:textId="77777777" w:rsidR="0055398E" w:rsidRDefault="0055398E" w:rsidP="0055398E">
            <w:pPr>
              <w:rPr>
                <w:rFonts w:ascii="Arial" w:hAnsi="Arial" w:cs="Arial"/>
                <w:sz w:val="24"/>
              </w:rPr>
            </w:pPr>
            <w:r>
              <w:rPr>
                <w:rFonts w:ascii="Arial" w:hAnsi="Arial" w:cs="Arial"/>
                <w:sz w:val="24"/>
              </w:rPr>
              <w:t>18</w:t>
            </w:r>
          </w:p>
          <w:p w14:paraId="1C334CE0" w14:textId="77777777" w:rsidR="0055398E" w:rsidRPr="00CC0DD7" w:rsidRDefault="0055398E" w:rsidP="0055398E">
            <w:pPr>
              <w:rPr>
                <w:rFonts w:ascii="Arial" w:hAnsi="Arial" w:cs="Arial"/>
                <w:b/>
                <w:sz w:val="20"/>
              </w:rPr>
            </w:pPr>
            <w:r w:rsidRPr="00CC0DD7">
              <w:rPr>
                <w:rFonts w:ascii="Arial" w:hAnsi="Arial" w:cs="Arial"/>
                <w:b/>
                <w:sz w:val="20"/>
              </w:rPr>
              <w:t xml:space="preserve">Día </w:t>
            </w:r>
          </w:p>
          <w:p w14:paraId="7718E2DF" w14:textId="77777777" w:rsidR="0055398E" w:rsidRDefault="0055398E" w:rsidP="0055398E">
            <w:pPr>
              <w:rPr>
                <w:rFonts w:ascii="Arial" w:hAnsi="Arial" w:cs="Arial"/>
                <w:sz w:val="24"/>
              </w:rPr>
            </w:pPr>
            <w:r w:rsidRPr="00CC0DD7">
              <w:rPr>
                <w:rFonts w:ascii="Arial" w:hAnsi="Arial" w:cs="Arial"/>
                <w:b/>
                <w:sz w:val="20"/>
              </w:rPr>
              <w:t>veintitrés</w:t>
            </w:r>
          </w:p>
        </w:tc>
        <w:tc>
          <w:tcPr>
            <w:tcW w:w="1444" w:type="dxa"/>
            <w:shd w:val="clear" w:color="auto" w:fill="B2A1C7" w:themeFill="accent4" w:themeFillTint="99"/>
          </w:tcPr>
          <w:p w14:paraId="10C47961" w14:textId="77777777" w:rsidR="0055398E" w:rsidRDefault="0055398E" w:rsidP="0055398E">
            <w:pPr>
              <w:rPr>
                <w:rFonts w:ascii="Arial" w:hAnsi="Arial" w:cs="Arial"/>
                <w:sz w:val="24"/>
              </w:rPr>
            </w:pPr>
            <w:r>
              <w:rPr>
                <w:rFonts w:ascii="Arial" w:hAnsi="Arial" w:cs="Arial"/>
                <w:sz w:val="24"/>
              </w:rPr>
              <w:t>19</w:t>
            </w:r>
          </w:p>
          <w:p w14:paraId="5C713529" w14:textId="77777777" w:rsidR="0055398E" w:rsidRPr="00941F3C" w:rsidRDefault="0055398E" w:rsidP="0055398E">
            <w:pPr>
              <w:rPr>
                <w:rFonts w:ascii="Arial" w:hAnsi="Arial" w:cs="Arial"/>
                <w:b/>
                <w:sz w:val="24"/>
              </w:rPr>
            </w:pPr>
            <w:r w:rsidRPr="00941F3C">
              <w:rPr>
                <w:rFonts w:ascii="Arial" w:hAnsi="Arial" w:cs="Arial"/>
                <w:b/>
                <w:sz w:val="20"/>
              </w:rPr>
              <w:t>Día veinticuatro</w:t>
            </w:r>
          </w:p>
        </w:tc>
        <w:tc>
          <w:tcPr>
            <w:tcW w:w="1337" w:type="dxa"/>
            <w:shd w:val="clear" w:color="auto" w:fill="B2A1C7" w:themeFill="accent4" w:themeFillTint="99"/>
          </w:tcPr>
          <w:p w14:paraId="7E114533" w14:textId="77777777" w:rsidR="0055398E" w:rsidRDefault="0055398E" w:rsidP="0055398E">
            <w:pPr>
              <w:rPr>
                <w:rFonts w:ascii="Arial" w:hAnsi="Arial" w:cs="Arial"/>
                <w:sz w:val="24"/>
              </w:rPr>
            </w:pPr>
            <w:r>
              <w:rPr>
                <w:rFonts w:ascii="Arial" w:hAnsi="Arial" w:cs="Arial"/>
                <w:sz w:val="24"/>
              </w:rPr>
              <w:t>20</w:t>
            </w:r>
          </w:p>
          <w:p w14:paraId="7798B786" w14:textId="77777777" w:rsidR="0055398E" w:rsidRPr="00941F3C" w:rsidRDefault="0055398E" w:rsidP="0055398E">
            <w:pPr>
              <w:rPr>
                <w:rFonts w:ascii="Arial" w:hAnsi="Arial" w:cs="Arial"/>
                <w:b/>
                <w:sz w:val="20"/>
              </w:rPr>
            </w:pPr>
            <w:r w:rsidRPr="00941F3C">
              <w:rPr>
                <w:rFonts w:ascii="Arial" w:hAnsi="Arial" w:cs="Arial"/>
                <w:b/>
                <w:sz w:val="20"/>
              </w:rPr>
              <w:t xml:space="preserve">Día </w:t>
            </w:r>
          </w:p>
          <w:p w14:paraId="38C59594" w14:textId="77777777" w:rsidR="0055398E" w:rsidRDefault="0055398E" w:rsidP="0055398E">
            <w:pPr>
              <w:rPr>
                <w:rFonts w:ascii="Arial" w:hAnsi="Arial" w:cs="Arial"/>
                <w:sz w:val="24"/>
              </w:rPr>
            </w:pPr>
            <w:r w:rsidRPr="00941F3C">
              <w:rPr>
                <w:rFonts w:ascii="Arial" w:hAnsi="Arial" w:cs="Arial"/>
                <w:b/>
                <w:sz w:val="20"/>
              </w:rPr>
              <w:t>veinticinco</w:t>
            </w:r>
          </w:p>
        </w:tc>
        <w:tc>
          <w:tcPr>
            <w:tcW w:w="1279" w:type="dxa"/>
            <w:shd w:val="clear" w:color="auto" w:fill="B2A1C7" w:themeFill="accent4" w:themeFillTint="99"/>
          </w:tcPr>
          <w:p w14:paraId="0F081906" w14:textId="77777777" w:rsidR="0055398E" w:rsidRDefault="0055398E" w:rsidP="0055398E">
            <w:pPr>
              <w:rPr>
                <w:rFonts w:ascii="Arial" w:hAnsi="Arial" w:cs="Arial"/>
                <w:sz w:val="24"/>
              </w:rPr>
            </w:pPr>
            <w:r>
              <w:rPr>
                <w:rFonts w:ascii="Arial" w:hAnsi="Arial" w:cs="Arial"/>
                <w:sz w:val="24"/>
              </w:rPr>
              <w:t>21</w:t>
            </w:r>
          </w:p>
          <w:p w14:paraId="44B4AEE1" w14:textId="77777777" w:rsidR="0055398E" w:rsidRPr="00941F3C" w:rsidRDefault="0055398E" w:rsidP="0055398E">
            <w:pPr>
              <w:rPr>
                <w:rFonts w:ascii="Arial" w:hAnsi="Arial" w:cs="Arial"/>
                <w:b/>
                <w:sz w:val="20"/>
              </w:rPr>
            </w:pPr>
            <w:r w:rsidRPr="00941F3C">
              <w:rPr>
                <w:rFonts w:ascii="Arial" w:hAnsi="Arial" w:cs="Arial"/>
                <w:b/>
                <w:sz w:val="20"/>
              </w:rPr>
              <w:t xml:space="preserve">Día </w:t>
            </w:r>
          </w:p>
          <w:p w14:paraId="62A5D450" w14:textId="77777777" w:rsidR="0055398E" w:rsidRDefault="0055398E" w:rsidP="0055398E">
            <w:pPr>
              <w:rPr>
                <w:rFonts w:ascii="Arial" w:hAnsi="Arial" w:cs="Arial"/>
                <w:sz w:val="24"/>
              </w:rPr>
            </w:pPr>
            <w:r w:rsidRPr="00941F3C">
              <w:rPr>
                <w:rFonts w:ascii="Arial" w:hAnsi="Arial" w:cs="Arial"/>
                <w:b/>
                <w:sz w:val="20"/>
              </w:rPr>
              <w:t>veintiséis</w:t>
            </w:r>
          </w:p>
        </w:tc>
        <w:tc>
          <w:tcPr>
            <w:tcW w:w="742" w:type="dxa"/>
            <w:shd w:val="clear" w:color="auto" w:fill="C4BC96" w:themeFill="background2" w:themeFillShade="BF"/>
          </w:tcPr>
          <w:p w14:paraId="0ECEF475" w14:textId="77777777" w:rsidR="0055398E" w:rsidRDefault="0055398E" w:rsidP="0055398E">
            <w:pPr>
              <w:rPr>
                <w:rFonts w:ascii="Arial" w:hAnsi="Arial" w:cs="Arial"/>
                <w:sz w:val="24"/>
              </w:rPr>
            </w:pPr>
            <w:r>
              <w:rPr>
                <w:rFonts w:ascii="Arial" w:hAnsi="Arial" w:cs="Arial"/>
                <w:sz w:val="24"/>
              </w:rPr>
              <w:t>22</w:t>
            </w:r>
          </w:p>
        </w:tc>
      </w:tr>
      <w:tr w:rsidR="0055398E" w14:paraId="208AE60D" w14:textId="77777777" w:rsidTr="0055398E">
        <w:trPr>
          <w:trHeight w:val="567"/>
        </w:trPr>
        <w:tc>
          <w:tcPr>
            <w:tcW w:w="630" w:type="dxa"/>
            <w:shd w:val="clear" w:color="auto" w:fill="C4BC96" w:themeFill="background2" w:themeFillShade="BF"/>
          </w:tcPr>
          <w:p w14:paraId="66FF03F6" w14:textId="77777777" w:rsidR="0055398E" w:rsidRDefault="0055398E" w:rsidP="0055398E">
            <w:pPr>
              <w:rPr>
                <w:rFonts w:ascii="Arial" w:hAnsi="Arial" w:cs="Arial"/>
                <w:sz w:val="24"/>
              </w:rPr>
            </w:pPr>
            <w:r>
              <w:rPr>
                <w:rFonts w:ascii="Arial" w:hAnsi="Arial" w:cs="Arial"/>
                <w:sz w:val="24"/>
              </w:rPr>
              <w:t>23</w:t>
            </w:r>
          </w:p>
        </w:tc>
        <w:tc>
          <w:tcPr>
            <w:tcW w:w="1284" w:type="dxa"/>
            <w:shd w:val="clear" w:color="auto" w:fill="B2A1C7" w:themeFill="accent4" w:themeFillTint="99"/>
          </w:tcPr>
          <w:p w14:paraId="6047CF41" w14:textId="77777777" w:rsidR="0055398E" w:rsidRDefault="0055398E" w:rsidP="0055398E">
            <w:pPr>
              <w:rPr>
                <w:rFonts w:ascii="Arial" w:hAnsi="Arial" w:cs="Arial"/>
                <w:sz w:val="24"/>
              </w:rPr>
            </w:pPr>
            <w:r>
              <w:rPr>
                <w:rFonts w:ascii="Arial" w:hAnsi="Arial" w:cs="Arial"/>
                <w:sz w:val="24"/>
              </w:rPr>
              <w:t>24</w:t>
            </w:r>
          </w:p>
          <w:p w14:paraId="3DE6D71E" w14:textId="77777777" w:rsidR="0055398E" w:rsidRDefault="0055398E" w:rsidP="0055398E">
            <w:pPr>
              <w:rPr>
                <w:rFonts w:ascii="Arial" w:hAnsi="Arial" w:cs="Arial"/>
                <w:sz w:val="24"/>
              </w:rPr>
            </w:pPr>
          </w:p>
          <w:p w14:paraId="5BD75FF4" w14:textId="77777777" w:rsidR="0055398E" w:rsidRPr="00941F3C" w:rsidRDefault="0055398E" w:rsidP="0055398E">
            <w:pPr>
              <w:rPr>
                <w:rFonts w:ascii="Arial" w:hAnsi="Arial" w:cs="Arial"/>
                <w:b/>
                <w:sz w:val="24"/>
              </w:rPr>
            </w:pPr>
            <w:r w:rsidRPr="00941F3C">
              <w:rPr>
                <w:rFonts w:ascii="Arial" w:hAnsi="Arial" w:cs="Arial"/>
                <w:b/>
                <w:sz w:val="20"/>
              </w:rPr>
              <w:t>Día veintisiete</w:t>
            </w:r>
          </w:p>
        </w:tc>
        <w:tc>
          <w:tcPr>
            <w:tcW w:w="1364" w:type="dxa"/>
            <w:shd w:val="clear" w:color="auto" w:fill="B2A1C7" w:themeFill="accent4" w:themeFillTint="99"/>
          </w:tcPr>
          <w:p w14:paraId="70890D79" w14:textId="77777777" w:rsidR="0055398E" w:rsidRDefault="0055398E" w:rsidP="0055398E">
            <w:pPr>
              <w:rPr>
                <w:rFonts w:ascii="Arial" w:hAnsi="Arial" w:cs="Arial"/>
                <w:sz w:val="24"/>
              </w:rPr>
            </w:pPr>
            <w:r>
              <w:rPr>
                <w:rFonts w:ascii="Arial" w:hAnsi="Arial" w:cs="Arial"/>
                <w:sz w:val="24"/>
              </w:rPr>
              <w:t>25</w:t>
            </w:r>
          </w:p>
          <w:p w14:paraId="54D6C222" w14:textId="77777777" w:rsidR="0055398E" w:rsidRDefault="0055398E" w:rsidP="0055398E">
            <w:pPr>
              <w:rPr>
                <w:rFonts w:ascii="Arial" w:hAnsi="Arial" w:cs="Arial"/>
                <w:sz w:val="24"/>
              </w:rPr>
            </w:pPr>
          </w:p>
          <w:p w14:paraId="4DE270D6" w14:textId="77777777" w:rsidR="0055398E" w:rsidRPr="00CC0DD7" w:rsidRDefault="0055398E" w:rsidP="0055398E">
            <w:pPr>
              <w:rPr>
                <w:rFonts w:ascii="Arial" w:hAnsi="Arial" w:cs="Arial"/>
                <w:b/>
                <w:sz w:val="20"/>
              </w:rPr>
            </w:pPr>
            <w:r w:rsidRPr="00CC0DD7">
              <w:rPr>
                <w:rFonts w:ascii="Arial" w:hAnsi="Arial" w:cs="Arial"/>
                <w:b/>
                <w:sz w:val="20"/>
              </w:rPr>
              <w:t xml:space="preserve">Día </w:t>
            </w:r>
          </w:p>
          <w:p w14:paraId="030F9D75" w14:textId="77777777" w:rsidR="0055398E" w:rsidRDefault="0055398E" w:rsidP="0055398E">
            <w:pPr>
              <w:rPr>
                <w:rFonts w:ascii="Arial" w:hAnsi="Arial" w:cs="Arial"/>
                <w:sz w:val="24"/>
              </w:rPr>
            </w:pPr>
            <w:r w:rsidRPr="00CC0DD7">
              <w:rPr>
                <w:rFonts w:ascii="Arial" w:hAnsi="Arial" w:cs="Arial"/>
                <w:b/>
                <w:sz w:val="20"/>
              </w:rPr>
              <w:t>veintiocho</w:t>
            </w:r>
          </w:p>
        </w:tc>
        <w:tc>
          <w:tcPr>
            <w:tcW w:w="1444" w:type="dxa"/>
            <w:shd w:val="clear" w:color="auto" w:fill="B2A1C7" w:themeFill="accent4" w:themeFillTint="99"/>
          </w:tcPr>
          <w:p w14:paraId="09185192" w14:textId="77777777" w:rsidR="0055398E" w:rsidRDefault="0055398E" w:rsidP="0055398E">
            <w:pPr>
              <w:rPr>
                <w:rFonts w:ascii="Arial" w:hAnsi="Arial" w:cs="Arial"/>
                <w:sz w:val="24"/>
              </w:rPr>
            </w:pPr>
            <w:r>
              <w:rPr>
                <w:rFonts w:ascii="Arial" w:hAnsi="Arial" w:cs="Arial"/>
                <w:sz w:val="24"/>
              </w:rPr>
              <w:t>26</w:t>
            </w:r>
          </w:p>
          <w:p w14:paraId="04FE0D23" w14:textId="77777777" w:rsidR="0055398E" w:rsidRDefault="0055398E" w:rsidP="0055398E">
            <w:pPr>
              <w:rPr>
                <w:rFonts w:ascii="Arial" w:hAnsi="Arial" w:cs="Arial"/>
                <w:sz w:val="24"/>
              </w:rPr>
            </w:pPr>
          </w:p>
          <w:p w14:paraId="214A9993" w14:textId="77777777" w:rsidR="0055398E" w:rsidRPr="00CC0DD7" w:rsidRDefault="0055398E" w:rsidP="0055398E">
            <w:pPr>
              <w:rPr>
                <w:rFonts w:ascii="Arial" w:hAnsi="Arial" w:cs="Arial"/>
                <w:b/>
                <w:sz w:val="20"/>
              </w:rPr>
            </w:pPr>
            <w:r w:rsidRPr="00CC0DD7">
              <w:rPr>
                <w:rFonts w:ascii="Arial" w:hAnsi="Arial" w:cs="Arial"/>
                <w:b/>
                <w:sz w:val="20"/>
              </w:rPr>
              <w:t xml:space="preserve">Día </w:t>
            </w:r>
          </w:p>
          <w:p w14:paraId="45F26AE1" w14:textId="77777777" w:rsidR="0055398E" w:rsidRDefault="0055398E" w:rsidP="0055398E">
            <w:pPr>
              <w:rPr>
                <w:rFonts w:ascii="Arial" w:hAnsi="Arial" w:cs="Arial"/>
                <w:sz w:val="24"/>
              </w:rPr>
            </w:pPr>
            <w:r w:rsidRPr="00CC0DD7">
              <w:rPr>
                <w:rFonts w:ascii="Arial" w:hAnsi="Arial" w:cs="Arial"/>
                <w:b/>
                <w:sz w:val="20"/>
              </w:rPr>
              <w:t>veintinueve</w:t>
            </w:r>
          </w:p>
        </w:tc>
        <w:tc>
          <w:tcPr>
            <w:tcW w:w="1337" w:type="dxa"/>
            <w:shd w:val="clear" w:color="auto" w:fill="FF0000"/>
          </w:tcPr>
          <w:p w14:paraId="7FFB21CF" w14:textId="77777777" w:rsidR="0055398E" w:rsidRDefault="0055398E" w:rsidP="0055398E">
            <w:pPr>
              <w:rPr>
                <w:rFonts w:ascii="Arial" w:hAnsi="Arial" w:cs="Arial"/>
                <w:sz w:val="24"/>
              </w:rPr>
            </w:pPr>
            <w:r>
              <w:rPr>
                <w:rFonts w:ascii="Arial" w:hAnsi="Arial" w:cs="Arial"/>
                <w:sz w:val="24"/>
              </w:rPr>
              <w:t>27</w:t>
            </w:r>
          </w:p>
          <w:p w14:paraId="604D0DDD" w14:textId="77777777" w:rsidR="0055398E" w:rsidRDefault="0055398E" w:rsidP="0055398E">
            <w:pPr>
              <w:rPr>
                <w:rFonts w:ascii="Arial" w:hAnsi="Arial" w:cs="Arial"/>
                <w:sz w:val="24"/>
              </w:rPr>
            </w:pPr>
          </w:p>
          <w:p w14:paraId="0719C74F" w14:textId="77777777" w:rsidR="0055398E" w:rsidRPr="00941F3C" w:rsidRDefault="0055398E" w:rsidP="0055398E">
            <w:pPr>
              <w:rPr>
                <w:rFonts w:ascii="Arial" w:hAnsi="Arial" w:cs="Arial"/>
                <w:b/>
                <w:sz w:val="24"/>
              </w:rPr>
            </w:pPr>
            <w:r w:rsidRPr="00941F3C">
              <w:rPr>
                <w:rFonts w:ascii="Arial" w:hAnsi="Arial" w:cs="Arial"/>
                <w:b/>
                <w:sz w:val="24"/>
              </w:rPr>
              <w:t xml:space="preserve">Día </w:t>
            </w:r>
          </w:p>
          <w:p w14:paraId="02FFC405" w14:textId="77777777" w:rsidR="0055398E" w:rsidRPr="00CC0DD7" w:rsidRDefault="0055398E" w:rsidP="0055398E">
            <w:pPr>
              <w:rPr>
                <w:rFonts w:ascii="Arial" w:hAnsi="Arial" w:cs="Arial"/>
                <w:b/>
                <w:sz w:val="24"/>
              </w:rPr>
            </w:pPr>
            <w:r>
              <w:rPr>
                <w:rFonts w:ascii="Arial" w:hAnsi="Arial" w:cs="Arial"/>
                <w:b/>
                <w:sz w:val="24"/>
              </w:rPr>
              <w:t>Treinta</w:t>
            </w:r>
          </w:p>
        </w:tc>
        <w:tc>
          <w:tcPr>
            <w:tcW w:w="1279" w:type="dxa"/>
          </w:tcPr>
          <w:p w14:paraId="290FAEA3" w14:textId="77777777" w:rsidR="0055398E" w:rsidRDefault="0055398E" w:rsidP="0055398E">
            <w:pPr>
              <w:rPr>
                <w:rFonts w:ascii="Arial" w:hAnsi="Arial" w:cs="Arial"/>
                <w:sz w:val="24"/>
              </w:rPr>
            </w:pPr>
            <w:r>
              <w:rPr>
                <w:rFonts w:ascii="Arial" w:hAnsi="Arial" w:cs="Arial"/>
                <w:sz w:val="24"/>
              </w:rPr>
              <w:t>28</w:t>
            </w:r>
          </w:p>
        </w:tc>
        <w:tc>
          <w:tcPr>
            <w:tcW w:w="742" w:type="dxa"/>
          </w:tcPr>
          <w:p w14:paraId="59AB6D3F" w14:textId="77777777" w:rsidR="0055398E" w:rsidRDefault="0055398E" w:rsidP="0055398E">
            <w:pPr>
              <w:rPr>
                <w:rFonts w:ascii="Arial" w:hAnsi="Arial" w:cs="Arial"/>
                <w:sz w:val="24"/>
              </w:rPr>
            </w:pPr>
            <w:r>
              <w:rPr>
                <w:rFonts w:ascii="Arial" w:hAnsi="Arial" w:cs="Arial"/>
                <w:sz w:val="24"/>
              </w:rPr>
              <w:t>29</w:t>
            </w:r>
          </w:p>
        </w:tc>
      </w:tr>
      <w:tr w:rsidR="0055398E" w14:paraId="3A72C022" w14:textId="77777777" w:rsidTr="0055398E">
        <w:trPr>
          <w:trHeight w:val="432"/>
        </w:trPr>
        <w:tc>
          <w:tcPr>
            <w:tcW w:w="630" w:type="dxa"/>
          </w:tcPr>
          <w:p w14:paraId="0BA8443D" w14:textId="77777777" w:rsidR="0055398E" w:rsidRDefault="0055398E" w:rsidP="0055398E">
            <w:pPr>
              <w:rPr>
                <w:rFonts w:ascii="Arial" w:hAnsi="Arial" w:cs="Arial"/>
                <w:sz w:val="24"/>
              </w:rPr>
            </w:pPr>
            <w:r>
              <w:rPr>
                <w:rFonts w:ascii="Arial" w:hAnsi="Arial" w:cs="Arial"/>
                <w:sz w:val="24"/>
              </w:rPr>
              <w:t>30</w:t>
            </w:r>
          </w:p>
        </w:tc>
        <w:tc>
          <w:tcPr>
            <w:tcW w:w="1284" w:type="dxa"/>
          </w:tcPr>
          <w:p w14:paraId="514E7E86" w14:textId="77777777" w:rsidR="0055398E" w:rsidRDefault="0055398E" w:rsidP="0055398E">
            <w:pPr>
              <w:rPr>
                <w:rFonts w:ascii="Arial" w:hAnsi="Arial" w:cs="Arial"/>
                <w:sz w:val="24"/>
              </w:rPr>
            </w:pPr>
            <w:r>
              <w:rPr>
                <w:rFonts w:ascii="Arial" w:hAnsi="Arial" w:cs="Arial"/>
                <w:sz w:val="24"/>
              </w:rPr>
              <w:t>31</w:t>
            </w:r>
          </w:p>
        </w:tc>
        <w:tc>
          <w:tcPr>
            <w:tcW w:w="1364" w:type="dxa"/>
          </w:tcPr>
          <w:p w14:paraId="4B58B485" w14:textId="77777777" w:rsidR="0055398E" w:rsidRDefault="0055398E" w:rsidP="0055398E">
            <w:pPr>
              <w:rPr>
                <w:rFonts w:ascii="Arial" w:hAnsi="Arial" w:cs="Arial"/>
                <w:sz w:val="24"/>
              </w:rPr>
            </w:pPr>
          </w:p>
        </w:tc>
        <w:tc>
          <w:tcPr>
            <w:tcW w:w="1444" w:type="dxa"/>
          </w:tcPr>
          <w:p w14:paraId="251223FD" w14:textId="77777777" w:rsidR="0055398E" w:rsidRDefault="0055398E" w:rsidP="0055398E">
            <w:pPr>
              <w:rPr>
                <w:rFonts w:ascii="Arial" w:hAnsi="Arial" w:cs="Arial"/>
                <w:sz w:val="24"/>
              </w:rPr>
            </w:pPr>
          </w:p>
        </w:tc>
        <w:tc>
          <w:tcPr>
            <w:tcW w:w="1337" w:type="dxa"/>
          </w:tcPr>
          <w:p w14:paraId="43FB7A4D" w14:textId="77777777" w:rsidR="0055398E" w:rsidRDefault="0055398E" w:rsidP="0055398E">
            <w:pPr>
              <w:rPr>
                <w:rFonts w:ascii="Arial" w:hAnsi="Arial" w:cs="Arial"/>
                <w:sz w:val="24"/>
              </w:rPr>
            </w:pPr>
          </w:p>
        </w:tc>
        <w:tc>
          <w:tcPr>
            <w:tcW w:w="1279" w:type="dxa"/>
          </w:tcPr>
          <w:p w14:paraId="218FAA33" w14:textId="77777777" w:rsidR="0055398E" w:rsidRDefault="0055398E" w:rsidP="0055398E">
            <w:pPr>
              <w:rPr>
                <w:rFonts w:ascii="Arial" w:hAnsi="Arial" w:cs="Arial"/>
                <w:sz w:val="24"/>
              </w:rPr>
            </w:pPr>
          </w:p>
        </w:tc>
        <w:tc>
          <w:tcPr>
            <w:tcW w:w="742" w:type="dxa"/>
          </w:tcPr>
          <w:p w14:paraId="1F813248" w14:textId="77777777" w:rsidR="0055398E" w:rsidRDefault="0055398E" w:rsidP="0055398E">
            <w:pPr>
              <w:rPr>
                <w:rFonts w:ascii="Arial" w:hAnsi="Arial" w:cs="Arial"/>
                <w:sz w:val="24"/>
              </w:rPr>
            </w:pPr>
          </w:p>
        </w:tc>
      </w:tr>
    </w:tbl>
    <w:p w14:paraId="1BF51430" w14:textId="77777777" w:rsidR="0055398E" w:rsidRDefault="0055398E" w:rsidP="002D695D">
      <w:pPr>
        <w:tabs>
          <w:tab w:val="left" w:pos="2187"/>
        </w:tabs>
        <w:spacing w:line="360" w:lineRule="auto"/>
        <w:jc w:val="both"/>
        <w:rPr>
          <w:rFonts w:ascii="Arial" w:hAnsi="Arial" w:cs="Arial"/>
          <w:sz w:val="24"/>
        </w:rPr>
      </w:pPr>
    </w:p>
    <w:p w14:paraId="26BB90C0" w14:textId="77777777" w:rsidR="00DB4B2E" w:rsidRDefault="00DB4B2E" w:rsidP="002D695D">
      <w:pPr>
        <w:tabs>
          <w:tab w:val="left" w:pos="2187"/>
        </w:tabs>
        <w:spacing w:line="360" w:lineRule="auto"/>
        <w:jc w:val="both"/>
        <w:rPr>
          <w:rFonts w:ascii="Arial" w:hAnsi="Arial" w:cs="Arial"/>
          <w:sz w:val="24"/>
        </w:rPr>
      </w:pPr>
    </w:p>
    <w:p w14:paraId="7786E108" w14:textId="08BB0011" w:rsidR="00CC0DD7" w:rsidRDefault="00CC0DD7" w:rsidP="003C39B4">
      <w:pPr>
        <w:pStyle w:val="Sangradetextonormal"/>
        <w:spacing w:line="276" w:lineRule="auto"/>
        <w:rPr>
          <w:rFonts w:ascii="Arial" w:hAnsi="Arial" w:cs="Arial"/>
          <w:b/>
          <w:bCs/>
          <w:sz w:val="24"/>
        </w:rPr>
      </w:pPr>
    </w:p>
    <w:p w14:paraId="08FE4606" w14:textId="786CFAB3" w:rsidR="00DB4B2E" w:rsidRPr="00CC0DD7" w:rsidRDefault="00DB4B2E" w:rsidP="00CC0DD7">
      <w:pPr>
        <w:tabs>
          <w:tab w:val="left" w:pos="3270"/>
        </w:tabs>
        <w:rPr>
          <w:lang w:val="es-ES" w:eastAsia="es-ES"/>
        </w:rPr>
      </w:pPr>
    </w:p>
    <w:p w14:paraId="734C0D1F" w14:textId="77777777" w:rsidR="002E1FE6" w:rsidRDefault="002E1FE6" w:rsidP="003C39B4">
      <w:pPr>
        <w:pStyle w:val="Sangradetextonormal"/>
        <w:spacing w:line="276" w:lineRule="auto"/>
        <w:rPr>
          <w:rFonts w:ascii="Arial" w:hAnsi="Arial" w:cs="Arial"/>
          <w:b/>
          <w:bCs/>
          <w:sz w:val="24"/>
        </w:rPr>
      </w:pPr>
    </w:p>
    <w:p w14:paraId="47A05DB7" w14:textId="77777777" w:rsidR="002E1FE6" w:rsidRDefault="002E1FE6" w:rsidP="003C39B4">
      <w:pPr>
        <w:pStyle w:val="Sangradetextonormal"/>
        <w:spacing w:line="276" w:lineRule="auto"/>
        <w:rPr>
          <w:rFonts w:ascii="Arial" w:hAnsi="Arial" w:cs="Arial"/>
          <w:b/>
          <w:bCs/>
          <w:sz w:val="24"/>
        </w:rPr>
      </w:pPr>
    </w:p>
    <w:p w14:paraId="6E380E45" w14:textId="77777777" w:rsidR="002E1FE6" w:rsidRDefault="002E1FE6" w:rsidP="003C39B4">
      <w:pPr>
        <w:pStyle w:val="Sangradetextonormal"/>
        <w:spacing w:line="276" w:lineRule="auto"/>
        <w:rPr>
          <w:rFonts w:ascii="Arial" w:hAnsi="Arial" w:cs="Arial"/>
          <w:b/>
          <w:bCs/>
          <w:sz w:val="24"/>
        </w:rPr>
      </w:pPr>
    </w:p>
    <w:p w14:paraId="77885045" w14:textId="77777777" w:rsidR="002E1FE6" w:rsidRDefault="002E1FE6" w:rsidP="003C39B4">
      <w:pPr>
        <w:pStyle w:val="Sangradetextonormal"/>
        <w:spacing w:line="276" w:lineRule="auto"/>
        <w:rPr>
          <w:rFonts w:ascii="Arial" w:hAnsi="Arial" w:cs="Arial"/>
          <w:b/>
          <w:bCs/>
          <w:sz w:val="24"/>
        </w:rPr>
      </w:pPr>
    </w:p>
    <w:p w14:paraId="437C53CA" w14:textId="77777777" w:rsidR="002E1FE6" w:rsidRDefault="002E1FE6" w:rsidP="003C39B4">
      <w:pPr>
        <w:pStyle w:val="Sangradetextonormal"/>
        <w:spacing w:line="276" w:lineRule="auto"/>
        <w:rPr>
          <w:rFonts w:ascii="Arial" w:hAnsi="Arial" w:cs="Arial"/>
          <w:b/>
          <w:bCs/>
          <w:sz w:val="24"/>
        </w:rPr>
      </w:pPr>
    </w:p>
    <w:p w14:paraId="13A73571" w14:textId="77777777" w:rsidR="002E1FE6" w:rsidRDefault="002E1FE6" w:rsidP="003C39B4">
      <w:pPr>
        <w:pStyle w:val="Sangradetextonormal"/>
        <w:spacing w:line="276" w:lineRule="auto"/>
        <w:rPr>
          <w:rFonts w:ascii="Arial" w:hAnsi="Arial" w:cs="Arial"/>
          <w:b/>
          <w:bCs/>
          <w:sz w:val="24"/>
        </w:rPr>
      </w:pPr>
    </w:p>
    <w:p w14:paraId="0468CB37" w14:textId="348AD311" w:rsidR="009B7EEB" w:rsidRDefault="00534C86" w:rsidP="002E1FE6">
      <w:pPr>
        <w:pStyle w:val="Sangradetextonormal"/>
        <w:spacing w:line="276" w:lineRule="auto"/>
        <w:rPr>
          <w:rFonts w:ascii="Arial" w:hAnsi="Arial" w:cs="Arial"/>
          <w:bCs/>
          <w:sz w:val="24"/>
          <w:u w:val="single"/>
        </w:rPr>
      </w:pPr>
      <w:r>
        <w:rPr>
          <w:noProof/>
          <w:lang w:val="es-MX" w:eastAsia="es-MX"/>
        </w:rPr>
        <w:lastRenderedPageBreak/>
        <w:drawing>
          <wp:anchor distT="0" distB="0" distL="114300" distR="114300" simplePos="0" relativeHeight="251662848" behindDoc="1" locked="0" layoutInCell="1" allowOverlap="1" wp14:anchorId="00D3BAFE" wp14:editId="44B798E3">
            <wp:simplePos x="0" y="0"/>
            <wp:positionH relativeFrom="margin">
              <wp:posOffset>-276860</wp:posOffset>
            </wp:positionH>
            <wp:positionV relativeFrom="paragraph">
              <wp:posOffset>210185</wp:posOffset>
            </wp:positionV>
            <wp:extent cx="6119495" cy="4561205"/>
            <wp:effectExtent l="0" t="0" r="0" b="0"/>
            <wp:wrapTight wrapText="bothSides">
              <wp:wrapPolygon edited="0">
                <wp:start x="0" y="0"/>
                <wp:lineTo x="0" y="21471"/>
                <wp:lineTo x="21517" y="21471"/>
                <wp:lineTo x="21517"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20627" t="17398" r="22169" b="6771"/>
                    <a:stretch/>
                  </pic:blipFill>
                  <pic:spPr bwMode="auto">
                    <a:xfrm>
                      <a:off x="0" y="0"/>
                      <a:ext cx="6119495" cy="45612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348B7CD" w14:textId="4E6C872E" w:rsidR="009B7EEB" w:rsidRDefault="009B7EEB" w:rsidP="002E1FE6">
      <w:pPr>
        <w:pStyle w:val="Sangradetextonormal"/>
        <w:spacing w:line="276" w:lineRule="auto"/>
        <w:rPr>
          <w:rFonts w:ascii="Arial" w:hAnsi="Arial" w:cs="Arial"/>
          <w:bCs/>
          <w:sz w:val="24"/>
          <w:u w:val="single"/>
        </w:rPr>
      </w:pPr>
    </w:p>
    <w:p w14:paraId="32A04164" w14:textId="77777777" w:rsidR="00284A6C" w:rsidRDefault="00284A6C" w:rsidP="00284A6C">
      <w:pPr>
        <w:pStyle w:val="Sangradetextonormal"/>
        <w:spacing w:line="276" w:lineRule="auto"/>
        <w:ind w:firstLine="0"/>
        <w:rPr>
          <w:rFonts w:ascii="Arial" w:hAnsi="Arial" w:cs="Arial"/>
          <w:b/>
          <w:bCs/>
          <w:sz w:val="24"/>
        </w:rPr>
      </w:pPr>
      <w:r>
        <w:rPr>
          <w:rFonts w:ascii="Arial" w:hAnsi="Arial" w:cs="Arial"/>
          <w:b/>
          <w:bCs/>
          <w:sz w:val="24"/>
        </w:rPr>
        <w:t xml:space="preserve">Interés jurídico y legítimo para promover el presente amparo. Características y acciones del colectivo al que pertenecemos: </w:t>
      </w:r>
      <w:r>
        <w:rPr>
          <w:rFonts w:ascii="Arial" w:hAnsi="Arial" w:cs="Arial"/>
          <w:bCs/>
          <w:sz w:val="24"/>
        </w:rPr>
        <w:t>(Aclaración: Lo que se narra y explica a continuación no es nuestro deseo señalarlo como acto reclamado, este capítulo lo exponemos para mostrarle a Usted nuestra realidad en los hechos y justificar nuestro interés jurídico y legitimo frente a las normas reclamadas y fortalecer la relación lógica jurídica de los conceptos de violación que se expondrán en el capítulo correspondiente.</w:t>
      </w:r>
    </w:p>
    <w:p w14:paraId="6701378B" w14:textId="77777777" w:rsidR="00284A6C" w:rsidRDefault="00284A6C" w:rsidP="00284A6C">
      <w:pPr>
        <w:spacing w:after="0"/>
        <w:jc w:val="both"/>
        <w:rPr>
          <w:rFonts w:ascii="Arial" w:hAnsi="Arial" w:cs="Arial"/>
          <w:sz w:val="24"/>
          <w:szCs w:val="24"/>
        </w:rPr>
      </w:pPr>
    </w:p>
    <w:p w14:paraId="7833FE84" w14:textId="605DFF6D" w:rsidR="00776D87" w:rsidRDefault="009B58F5" w:rsidP="00284A6C">
      <w:pPr>
        <w:spacing w:after="0"/>
        <w:jc w:val="both"/>
        <w:rPr>
          <w:rFonts w:ascii="Arial" w:hAnsi="Arial" w:cs="Arial"/>
          <w:sz w:val="24"/>
          <w:szCs w:val="24"/>
        </w:rPr>
      </w:pPr>
      <w:r>
        <w:rPr>
          <w:rFonts w:ascii="Arial" w:hAnsi="Arial" w:cs="Arial"/>
          <w:sz w:val="24"/>
          <w:szCs w:val="24"/>
        </w:rPr>
        <w:t>La presente demanda la hicimos</w:t>
      </w:r>
      <w:r w:rsidR="00776D87">
        <w:rPr>
          <w:rFonts w:ascii="Arial" w:hAnsi="Arial" w:cs="Arial"/>
          <w:sz w:val="24"/>
          <w:szCs w:val="24"/>
        </w:rPr>
        <w:t xml:space="preserve"> altruistamente</w:t>
      </w:r>
      <w:r w:rsidR="0090360A">
        <w:rPr>
          <w:rFonts w:ascii="Arial" w:hAnsi="Arial" w:cs="Arial"/>
          <w:sz w:val="24"/>
          <w:szCs w:val="24"/>
        </w:rPr>
        <w:t xml:space="preserve"> (pro bono)</w:t>
      </w:r>
      <w:r w:rsidR="00776D87">
        <w:rPr>
          <w:rFonts w:ascii="Arial" w:hAnsi="Arial" w:cs="Arial"/>
          <w:sz w:val="24"/>
          <w:szCs w:val="24"/>
        </w:rPr>
        <w:t xml:space="preserve"> con la mejor intención de defender los derechos fundamentales que actualmente viola el presidente para prevenir en lo futuro otras violaciones más graves que después sea imposible defender o demasiado tarde debido a privaciones de la vida, la libertad, incomunicación, tortura, desapariciones forzadas de personas. No es nuestra intención generarle una molestia a Usted, por lo que le suplicamos que no nos considere su contraparte, simplemente le pedimos que con fundamento en el artículo 1 y 17 Constitucionales se imparta justicia imparcialmente de forma completa de conformidad con el principio de progresividad que impera en la </w:t>
      </w:r>
      <w:r>
        <w:rPr>
          <w:rFonts w:ascii="Arial" w:hAnsi="Arial" w:cs="Arial"/>
          <w:sz w:val="24"/>
          <w:szCs w:val="24"/>
        </w:rPr>
        <w:t>defensa de los derechos humanos).</w:t>
      </w:r>
    </w:p>
    <w:p w14:paraId="4664E9AD" w14:textId="77777777" w:rsidR="00824580" w:rsidRDefault="00824580" w:rsidP="00810E13">
      <w:pPr>
        <w:spacing w:after="0"/>
        <w:ind w:firstLine="708"/>
        <w:jc w:val="both"/>
        <w:rPr>
          <w:rFonts w:ascii="Arial" w:hAnsi="Arial" w:cs="Arial"/>
          <w:bCs/>
          <w:sz w:val="24"/>
          <w:szCs w:val="24"/>
        </w:rPr>
      </w:pPr>
    </w:p>
    <w:p w14:paraId="7E265812" w14:textId="7425943F" w:rsidR="00760A76" w:rsidRPr="000757A0" w:rsidRDefault="000757A0" w:rsidP="00760A76">
      <w:pPr>
        <w:spacing w:line="360" w:lineRule="auto"/>
        <w:jc w:val="both"/>
        <w:rPr>
          <w:rFonts w:ascii="Arial" w:hAnsi="Arial" w:cs="Arial"/>
          <w:sz w:val="24"/>
        </w:rPr>
      </w:pPr>
      <w:r w:rsidRPr="000757A0">
        <w:rPr>
          <w:rFonts w:ascii="Arial" w:hAnsi="Arial" w:cs="Arial"/>
          <w:sz w:val="24"/>
          <w:szCs w:val="24"/>
        </w:rPr>
        <w:t>La parte quejosa tiene interés legítimo en el presente amparo</w:t>
      </w:r>
      <w:r>
        <w:rPr>
          <w:rFonts w:ascii="Arial" w:hAnsi="Arial" w:cs="Arial"/>
          <w:sz w:val="24"/>
          <w:szCs w:val="24"/>
        </w:rPr>
        <w:t xml:space="preserve"> con fundamento en el </w:t>
      </w:r>
      <w:r w:rsidRPr="002327EA">
        <w:rPr>
          <w:rFonts w:ascii="Arial" w:hAnsi="Arial" w:cs="Arial"/>
          <w:sz w:val="24"/>
        </w:rPr>
        <w:t>párrafo tercero del art</w:t>
      </w:r>
      <w:r>
        <w:rPr>
          <w:rFonts w:ascii="Arial" w:hAnsi="Arial" w:cs="Arial"/>
          <w:sz w:val="24"/>
        </w:rPr>
        <w:t>ículo 17 y el diverso</w:t>
      </w:r>
      <w:r w:rsidRPr="002327EA">
        <w:rPr>
          <w:rFonts w:ascii="Arial" w:hAnsi="Arial" w:cs="Arial"/>
          <w:sz w:val="24"/>
        </w:rPr>
        <w:t xml:space="preserve"> 107, fracción I, </w:t>
      </w:r>
      <w:r>
        <w:rPr>
          <w:rFonts w:ascii="Arial" w:hAnsi="Arial" w:cs="Arial"/>
          <w:sz w:val="24"/>
        </w:rPr>
        <w:t xml:space="preserve">ambos </w:t>
      </w:r>
      <w:r w:rsidRPr="002327EA">
        <w:rPr>
          <w:rFonts w:ascii="Arial" w:hAnsi="Arial" w:cs="Arial"/>
          <w:sz w:val="24"/>
        </w:rPr>
        <w:t>de la Constitución General de la República, así como el numeral 5, fracción I, de la Ley de Amparo</w:t>
      </w:r>
      <w:r>
        <w:rPr>
          <w:rFonts w:ascii="Arial" w:hAnsi="Arial" w:cs="Arial"/>
          <w:sz w:val="24"/>
        </w:rPr>
        <w:t>, toda vez que somos</w:t>
      </w:r>
      <w:r w:rsidRPr="000757A0">
        <w:rPr>
          <w:rFonts w:ascii="Arial" w:hAnsi="Arial" w:cs="Arial"/>
          <w:sz w:val="24"/>
          <w:szCs w:val="24"/>
        </w:rPr>
        <w:t xml:space="preserve"> “defensor</w:t>
      </w:r>
      <w:r>
        <w:rPr>
          <w:rFonts w:ascii="Arial" w:hAnsi="Arial" w:cs="Arial"/>
          <w:sz w:val="24"/>
          <w:szCs w:val="24"/>
        </w:rPr>
        <w:t>es</w:t>
      </w:r>
      <w:r w:rsidRPr="000757A0">
        <w:rPr>
          <w:rFonts w:ascii="Arial" w:hAnsi="Arial" w:cs="Arial"/>
          <w:sz w:val="24"/>
          <w:szCs w:val="24"/>
        </w:rPr>
        <w:t xml:space="preserve"> o defensora</w:t>
      </w:r>
      <w:r>
        <w:rPr>
          <w:rFonts w:ascii="Arial" w:hAnsi="Arial" w:cs="Arial"/>
          <w:sz w:val="24"/>
          <w:szCs w:val="24"/>
        </w:rPr>
        <w:t>s</w:t>
      </w:r>
      <w:r w:rsidRPr="000757A0">
        <w:rPr>
          <w:rFonts w:ascii="Arial" w:hAnsi="Arial" w:cs="Arial"/>
          <w:sz w:val="24"/>
          <w:szCs w:val="24"/>
        </w:rPr>
        <w:t xml:space="preserve"> de derechos humanos” y para ser considerado “defensor o defensora de derechos humanos” no se requiere cumplir requisitos especiales o la existencia de un reconocimiento público, de conformidad con el artículo 2 de la Ley para la Protección de Personas Defensoras de Derechos Humanos y Periodistas, así como con el Informe sobre la Situación de las Defensoras y Defensores de los Derechos Humanos en las Américas (2006) de la Comisión Interamericana de Derechos Humanos, Declaración sobre los defensores de los derechos humanos en 1998</w:t>
      </w:r>
      <w:r>
        <w:rPr>
          <w:rFonts w:ascii="Arial" w:hAnsi="Arial" w:cs="Arial"/>
          <w:sz w:val="24"/>
          <w:szCs w:val="24"/>
        </w:rPr>
        <w:t>. Es decir, la parte quejosa tenemos una s</w:t>
      </w:r>
      <w:r w:rsidRPr="000757A0">
        <w:rPr>
          <w:rFonts w:ascii="Arial" w:hAnsi="Arial" w:cs="Arial"/>
          <w:sz w:val="24"/>
        </w:rPr>
        <w:t xml:space="preserve">ituación especial </w:t>
      </w:r>
      <w:r w:rsidRPr="000757A0">
        <w:rPr>
          <w:rFonts w:ascii="Arial" w:hAnsi="Arial" w:cs="Arial"/>
          <w:sz w:val="24"/>
        </w:rPr>
        <w:lastRenderedPageBreak/>
        <w:t>en relación con la norma reclamada, al habe</w:t>
      </w:r>
      <w:r w:rsidR="00D42877">
        <w:rPr>
          <w:rFonts w:ascii="Arial" w:hAnsi="Arial" w:cs="Arial"/>
          <w:sz w:val="24"/>
        </w:rPr>
        <w:t>rnos</w:t>
      </w:r>
      <w:r w:rsidRPr="000757A0">
        <w:rPr>
          <w:rFonts w:ascii="Arial" w:hAnsi="Arial" w:cs="Arial"/>
          <w:sz w:val="24"/>
        </w:rPr>
        <w:t xml:space="preserve"> ostentado defensores de derechos humanos, y por ello reclamaron la norma conforme a su i</w:t>
      </w:r>
      <w:r>
        <w:rPr>
          <w:rFonts w:ascii="Arial" w:hAnsi="Arial" w:cs="Arial"/>
          <w:sz w:val="24"/>
        </w:rPr>
        <w:t>ndividualización incondicionada porque l</w:t>
      </w:r>
      <w:r w:rsidRPr="000757A0">
        <w:rPr>
          <w:rFonts w:ascii="Arial" w:hAnsi="Arial" w:cs="Arial"/>
          <w:sz w:val="24"/>
          <w:szCs w:val="24"/>
        </w:rPr>
        <w:t xml:space="preserve">a </w:t>
      </w:r>
      <w:r w:rsidRPr="000757A0">
        <w:rPr>
          <w:rFonts w:ascii="Arial" w:hAnsi="Arial" w:cs="Arial"/>
          <w:sz w:val="24"/>
          <w:szCs w:val="24"/>
          <w:u w:val="single"/>
        </w:rPr>
        <w:t xml:space="preserve">norma reclamada </w:t>
      </w:r>
      <w:r>
        <w:rPr>
          <w:rFonts w:ascii="Arial" w:hAnsi="Arial" w:cs="Arial"/>
          <w:sz w:val="24"/>
          <w:szCs w:val="24"/>
          <w:u w:val="single"/>
        </w:rPr>
        <w:t>genera</w:t>
      </w:r>
      <w:r w:rsidRPr="000757A0">
        <w:rPr>
          <w:rFonts w:ascii="Arial" w:hAnsi="Arial" w:cs="Arial"/>
          <w:sz w:val="24"/>
          <w:szCs w:val="24"/>
          <w:u w:val="single"/>
        </w:rPr>
        <w:t xml:space="preserve"> un efecto inhibidor y amedrentador en las personas quejosas para el libre ejercicio de su actividad</w:t>
      </w:r>
      <w:r w:rsidRPr="000757A0">
        <w:rPr>
          <w:rFonts w:ascii="Arial" w:hAnsi="Arial" w:cs="Arial"/>
          <w:sz w:val="24"/>
          <w:szCs w:val="24"/>
        </w:rPr>
        <w:t xml:space="preserve"> como defensoras de derechos humanos.</w:t>
      </w:r>
    </w:p>
    <w:p w14:paraId="6D9E1991" w14:textId="780E2EDA" w:rsidR="00810E13" w:rsidRDefault="000757A0" w:rsidP="00810E13">
      <w:pPr>
        <w:spacing w:after="0"/>
        <w:ind w:firstLine="708"/>
        <w:jc w:val="both"/>
        <w:rPr>
          <w:rFonts w:ascii="Arial" w:hAnsi="Arial" w:cs="Arial"/>
          <w:bCs/>
          <w:sz w:val="24"/>
          <w:szCs w:val="24"/>
        </w:rPr>
      </w:pPr>
      <w:r>
        <w:rPr>
          <w:rFonts w:ascii="Arial" w:hAnsi="Arial" w:cs="Arial"/>
          <w:bCs/>
          <w:sz w:val="24"/>
          <w:szCs w:val="24"/>
        </w:rPr>
        <w:t>Así, l</w:t>
      </w:r>
      <w:r w:rsidR="009E59BB">
        <w:rPr>
          <w:rFonts w:ascii="Arial" w:hAnsi="Arial" w:cs="Arial"/>
          <w:bCs/>
          <w:sz w:val="24"/>
          <w:szCs w:val="24"/>
        </w:rPr>
        <w:t xml:space="preserve">os suscritos quejosos pertenecemos al Frente Nacional Ciudadano (FRENA) </w:t>
      </w:r>
      <w:r w:rsidR="005C4F89">
        <w:rPr>
          <w:rFonts w:ascii="Arial" w:hAnsi="Arial" w:cs="Arial"/>
          <w:bCs/>
          <w:sz w:val="24"/>
          <w:szCs w:val="24"/>
        </w:rPr>
        <w:t xml:space="preserve">un colectivo de facto, </w:t>
      </w:r>
      <w:r w:rsidR="009E59BB">
        <w:rPr>
          <w:rFonts w:ascii="Arial" w:hAnsi="Arial" w:cs="Arial"/>
          <w:bCs/>
          <w:sz w:val="24"/>
          <w:szCs w:val="24"/>
        </w:rPr>
        <w:t>por lo que participamos activamente en el ejercicio de las libertades de reunión en plazas públicas, manifestación y expresión, además, en nuestro colectivo se ejerce el derecho de petición ante autoridades, así como la solicitud de acceso a la información pública a través de la Plataforma Nacional de Transparencia y Acceso a la Información Pública, también</w:t>
      </w:r>
      <w:r w:rsidR="00810E13">
        <w:rPr>
          <w:rFonts w:ascii="Arial" w:hAnsi="Arial" w:cs="Arial"/>
          <w:bCs/>
          <w:sz w:val="24"/>
          <w:szCs w:val="24"/>
        </w:rPr>
        <w:t xml:space="preserve"> se hacen videos exponiendo la evaluación del desempeño público del presidente,</w:t>
      </w:r>
      <w:r w:rsidR="009E59BB">
        <w:rPr>
          <w:rFonts w:ascii="Arial" w:hAnsi="Arial" w:cs="Arial"/>
          <w:bCs/>
          <w:sz w:val="24"/>
          <w:szCs w:val="24"/>
        </w:rPr>
        <w:t xml:space="preserve"> interponemos demandas de amparo contra actos de autoridades que consideramos violatorio</w:t>
      </w:r>
      <w:r w:rsidR="00810E13">
        <w:rPr>
          <w:rFonts w:ascii="Arial" w:hAnsi="Arial" w:cs="Arial"/>
          <w:bCs/>
          <w:sz w:val="24"/>
          <w:szCs w:val="24"/>
        </w:rPr>
        <w:t xml:space="preserve">s de los derechos fundamentales, denuncias penales, de juicio político contra actos del presidente de México, incluso ejercemos mecanismos de democracia directa y participamos en foros de debate. </w:t>
      </w:r>
    </w:p>
    <w:p w14:paraId="15F8F7A0" w14:textId="77777777" w:rsidR="00810E13" w:rsidRDefault="00810E13" w:rsidP="00810E13">
      <w:pPr>
        <w:spacing w:after="0"/>
        <w:ind w:firstLine="708"/>
        <w:jc w:val="both"/>
        <w:rPr>
          <w:rFonts w:ascii="Arial" w:hAnsi="Arial" w:cs="Arial"/>
          <w:bCs/>
          <w:sz w:val="24"/>
          <w:szCs w:val="24"/>
        </w:rPr>
      </w:pPr>
      <w:r>
        <w:rPr>
          <w:rFonts w:ascii="Arial" w:hAnsi="Arial" w:cs="Arial"/>
          <w:bCs/>
          <w:sz w:val="24"/>
          <w:szCs w:val="24"/>
        </w:rPr>
        <w:t>E</w:t>
      </w:r>
      <w:r w:rsidR="009E59BB">
        <w:rPr>
          <w:rFonts w:ascii="Arial" w:hAnsi="Arial" w:cs="Arial"/>
          <w:bCs/>
          <w:sz w:val="24"/>
          <w:szCs w:val="24"/>
        </w:rPr>
        <w:t>n</w:t>
      </w:r>
      <w:r>
        <w:rPr>
          <w:rFonts w:ascii="Arial" w:hAnsi="Arial" w:cs="Arial"/>
          <w:bCs/>
          <w:sz w:val="24"/>
          <w:szCs w:val="24"/>
        </w:rPr>
        <w:t>tonces, en</w:t>
      </w:r>
      <w:r w:rsidR="009E59BB">
        <w:rPr>
          <w:rFonts w:ascii="Arial" w:hAnsi="Arial" w:cs="Arial"/>
          <w:bCs/>
          <w:sz w:val="24"/>
          <w:szCs w:val="24"/>
        </w:rPr>
        <w:t xml:space="preserve"> especial</w:t>
      </w:r>
      <w:r>
        <w:rPr>
          <w:rFonts w:ascii="Arial" w:hAnsi="Arial" w:cs="Arial"/>
          <w:bCs/>
          <w:sz w:val="24"/>
          <w:szCs w:val="24"/>
        </w:rPr>
        <w:t xml:space="preserve"> como colectivo</w:t>
      </w:r>
      <w:r w:rsidR="009E59BB">
        <w:rPr>
          <w:rFonts w:ascii="Arial" w:hAnsi="Arial" w:cs="Arial"/>
          <w:bCs/>
          <w:sz w:val="24"/>
          <w:szCs w:val="24"/>
        </w:rPr>
        <w:t xml:space="preserve"> nos dedicamos a realizar un escrutinio público de la conducta del Presidente de los Estados Unidos Mexicanos,</w:t>
      </w:r>
      <w:r>
        <w:rPr>
          <w:rFonts w:ascii="Arial" w:hAnsi="Arial" w:cs="Arial"/>
          <w:bCs/>
          <w:sz w:val="24"/>
          <w:szCs w:val="24"/>
        </w:rPr>
        <w:t xml:space="preserve"> </w:t>
      </w:r>
      <w:r w:rsidR="009E59BB">
        <w:rPr>
          <w:rFonts w:ascii="Arial" w:hAnsi="Arial" w:cs="Arial"/>
          <w:bCs/>
          <w:sz w:val="24"/>
          <w:szCs w:val="24"/>
        </w:rPr>
        <w:t xml:space="preserve">es decir, examinamos el desempeño público </w:t>
      </w:r>
      <w:r>
        <w:rPr>
          <w:rFonts w:ascii="Arial" w:hAnsi="Arial" w:cs="Arial"/>
          <w:bCs/>
          <w:sz w:val="24"/>
          <w:szCs w:val="24"/>
        </w:rPr>
        <w:t>del que es:</w:t>
      </w:r>
    </w:p>
    <w:p w14:paraId="0C59A53C" w14:textId="3DF99032" w:rsidR="00810E13" w:rsidRPr="00AF7544" w:rsidRDefault="00810E13" w:rsidP="00810E13">
      <w:pPr>
        <w:pStyle w:val="Prrafodelista"/>
        <w:numPr>
          <w:ilvl w:val="0"/>
          <w:numId w:val="46"/>
        </w:numPr>
        <w:spacing w:after="160" w:line="259" w:lineRule="auto"/>
        <w:jc w:val="both"/>
        <w:rPr>
          <w:rFonts w:ascii="Arial" w:hAnsi="Arial" w:cs="Arial"/>
          <w:sz w:val="24"/>
          <w:szCs w:val="24"/>
        </w:rPr>
      </w:pPr>
      <w:r w:rsidRPr="00AF7544">
        <w:rPr>
          <w:rFonts w:ascii="Arial" w:hAnsi="Arial" w:cs="Arial"/>
          <w:sz w:val="24"/>
          <w:szCs w:val="24"/>
        </w:rPr>
        <w:t>Jefe de Estado</w:t>
      </w:r>
      <w:r>
        <w:rPr>
          <w:rFonts w:ascii="Arial" w:hAnsi="Arial" w:cs="Arial"/>
          <w:sz w:val="24"/>
          <w:szCs w:val="24"/>
        </w:rPr>
        <w:t xml:space="preserve"> (89 Constitucional. Encargado de la Política Exterior). </w:t>
      </w:r>
    </w:p>
    <w:p w14:paraId="6624A6D7" w14:textId="4D6A0F8E" w:rsidR="00810E13" w:rsidRPr="00AF7544" w:rsidRDefault="00810E13" w:rsidP="00810E13">
      <w:pPr>
        <w:pStyle w:val="Prrafodelista"/>
        <w:numPr>
          <w:ilvl w:val="0"/>
          <w:numId w:val="46"/>
        </w:numPr>
        <w:spacing w:after="160" w:line="259" w:lineRule="auto"/>
        <w:jc w:val="both"/>
        <w:rPr>
          <w:rFonts w:ascii="Arial" w:hAnsi="Arial" w:cs="Arial"/>
          <w:sz w:val="24"/>
          <w:szCs w:val="24"/>
        </w:rPr>
      </w:pPr>
      <w:r w:rsidRPr="00AF7544">
        <w:rPr>
          <w:rFonts w:ascii="Arial" w:hAnsi="Arial" w:cs="Arial"/>
          <w:sz w:val="24"/>
          <w:szCs w:val="24"/>
        </w:rPr>
        <w:t>Jefe de Gobierno</w:t>
      </w:r>
      <w:r>
        <w:rPr>
          <w:rFonts w:ascii="Arial" w:hAnsi="Arial" w:cs="Arial"/>
          <w:sz w:val="24"/>
          <w:szCs w:val="24"/>
        </w:rPr>
        <w:t xml:space="preserve"> (80. Titular del Poder Ejecutivo)</w:t>
      </w:r>
    </w:p>
    <w:p w14:paraId="27218137" w14:textId="15F0CEB6" w:rsidR="00810E13" w:rsidRDefault="00810E13" w:rsidP="00810E13">
      <w:pPr>
        <w:pStyle w:val="Prrafodelista"/>
        <w:numPr>
          <w:ilvl w:val="0"/>
          <w:numId w:val="46"/>
        </w:numPr>
        <w:spacing w:after="160" w:line="259" w:lineRule="auto"/>
        <w:jc w:val="both"/>
        <w:rPr>
          <w:rFonts w:ascii="Arial" w:hAnsi="Arial" w:cs="Arial"/>
          <w:sz w:val="24"/>
          <w:szCs w:val="24"/>
        </w:rPr>
      </w:pPr>
      <w:r w:rsidRPr="00201451">
        <w:rPr>
          <w:rFonts w:ascii="Arial" w:hAnsi="Arial" w:cs="Arial"/>
          <w:sz w:val="24"/>
          <w:szCs w:val="24"/>
        </w:rPr>
        <w:t>Jefe de las Fuerzas Armadas (</w:t>
      </w:r>
      <w:r w:rsidR="0004735C">
        <w:rPr>
          <w:rFonts w:ascii="Arial" w:hAnsi="Arial" w:cs="Arial"/>
          <w:sz w:val="24"/>
          <w:szCs w:val="24"/>
        </w:rPr>
        <w:t xml:space="preserve">11 Ley Orgánica del Ejército y Fuerza Aérea Mexicanos </w:t>
      </w:r>
      <w:r w:rsidRPr="00201451">
        <w:rPr>
          <w:rFonts w:ascii="Arial" w:hAnsi="Arial" w:cs="Arial"/>
          <w:sz w:val="24"/>
          <w:szCs w:val="24"/>
        </w:rPr>
        <w:t>Comandante Supremo de las Fuerzas Armadas.)</w:t>
      </w:r>
    </w:p>
    <w:p w14:paraId="4B66DF2A" w14:textId="68A44901" w:rsidR="00810E13" w:rsidRPr="00201451" w:rsidRDefault="00810E13" w:rsidP="00810E13">
      <w:pPr>
        <w:pStyle w:val="Prrafodelista"/>
        <w:numPr>
          <w:ilvl w:val="0"/>
          <w:numId w:val="46"/>
        </w:numPr>
        <w:spacing w:after="160" w:line="259" w:lineRule="auto"/>
        <w:jc w:val="both"/>
        <w:rPr>
          <w:rFonts w:ascii="Arial" w:hAnsi="Arial" w:cs="Arial"/>
          <w:sz w:val="24"/>
          <w:szCs w:val="24"/>
        </w:rPr>
      </w:pPr>
      <w:r>
        <w:rPr>
          <w:rFonts w:ascii="Arial" w:hAnsi="Arial" w:cs="Arial"/>
          <w:sz w:val="24"/>
          <w:szCs w:val="24"/>
        </w:rPr>
        <w:t>Jefe de la influencia psicológica en los ciudadanos mediante los medios de comunicación (La mañanera y regularmente de las primeras notas de la prensa).</w:t>
      </w:r>
    </w:p>
    <w:p w14:paraId="07935DE5" w14:textId="48F68142" w:rsidR="009E59BB" w:rsidRDefault="009E59BB" w:rsidP="009E59BB">
      <w:pPr>
        <w:spacing w:after="0"/>
        <w:ind w:firstLine="708"/>
        <w:jc w:val="both"/>
        <w:rPr>
          <w:rFonts w:ascii="Arial" w:hAnsi="Arial" w:cs="Arial"/>
          <w:bCs/>
          <w:sz w:val="24"/>
          <w:szCs w:val="24"/>
        </w:rPr>
      </w:pPr>
      <w:r>
        <w:rPr>
          <w:rFonts w:ascii="Arial" w:hAnsi="Arial" w:cs="Arial"/>
          <w:bCs/>
          <w:sz w:val="24"/>
          <w:szCs w:val="24"/>
        </w:rPr>
        <w:t xml:space="preserve"> Ejemplo</w:t>
      </w:r>
      <w:r w:rsidR="009B58F5">
        <w:rPr>
          <w:rFonts w:ascii="Arial" w:hAnsi="Arial" w:cs="Arial"/>
          <w:bCs/>
          <w:sz w:val="24"/>
          <w:szCs w:val="24"/>
        </w:rPr>
        <w:t>s</w:t>
      </w:r>
      <w:r>
        <w:rPr>
          <w:rFonts w:ascii="Arial" w:hAnsi="Arial" w:cs="Arial"/>
          <w:bCs/>
          <w:sz w:val="24"/>
          <w:szCs w:val="24"/>
        </w:rPr>
        <w:t xml:space="preserve"> de </w:t>
      </w:r>
      <w:r w:rsidR="00810E13">
        <w:rPr>
          <w:rFonts w:ascii="Arial" w:hAnsi="Arial" w:cs="Arial"/>
          <w:bCs/>
          <w:sz w:val="24"/>
          <w:szCs w:val="24"/>
        </w:rPr>
        <w:t>nuestra labor pacífica en</w:t>
      </w:r>
      <w:r>
        <w:rPr>
          <w:rFonts w:ascii="Arial" w:hAnsi="Arial" w:cs="Arial"/>
          <w:bCs/>
          <w:sz w:val="24"/>
          <w:szCs w:val="24"/>
        </w:rPr>
        <w:t xml:space="preserve"> los hechos, </w:t>
      </w:r>
      <w:r w:rsidR="00810E13">
        <w:rPr>
          <w:rFonts w:ascii="Arial" w:hAnsi="Arial" w:cs="Arial"/>
          <w:bCs/>
          <w:sz w:val="24"/>
          <w:szCs w:val="24"/>
        </w:rPr>
        <w:t xml:space="preserve">es que </w:t>
      </w:r>
      <w:r>
        <w:rPr>
          <w:rFonts w:ascii="Arial" w:hAnsi="Arial" w:cs="Arial"/>
          <w:bCs/>
          <w:sz w:val="24"/>
          <w:szCs w:val="24"/>
        </w:rPr>
        <w:t xml:space="preserve">en los últimos dos años el Frente Nacional Ciudadano </w:t>
      </w:r>
      <w:r w:rsidR="009B58F5">
        <w:rPr>
          <w:rFonts w:ascii="Arial" w:hAnsi="Arial" w:cs="Arial"/>
          <w:bCs/>
          <w:sz w:val="24"/>
          <w:szCs w:val="24"/>
        </w:rPr>
        <w:t>ha realizado al menos lo siguiente</w:t>
      </w:r>
      <w:r>
        <w:rPr>
          <w:rFonts w:ascii="Arial" w:hAnsi="Arial" w:cs="Arial"/>
          <w:bCs/>
          <w:sz w:val="24"/>
          <w:szCs w:val="24"/>
        </w:rPr>
        <w:t>:</w:t>
      </w:r>
    </w:p>
    <w:p w14:paraId="3B85C460" w14:textId="77777777" w:rsidR="009E59BB" w:rsidRDefault="009E59BB" w:rsidP="009E59BB">
      <w:pPr>
        <w:spacing w:after="0"/>
        <w:ind w:firstLine="708"/>
        <w:jc w:val="both"/>
        <w:rPr>
          <w:rFonts w:ascii="Arial" w:hAnsi="Arial" w:cs="Arial"/>
          <w:bCs/>
          <w:sz w:val="24"/>
          <w:szCs w:val="24"/>
        </w:rPr>
      </w:pPr>
    </w:p>
    <w:p w14:paraId="15CB7AD5" w14:textId="77777777" w:rsidR="009E59BB" w:rsidRPr="00891702" w:rsidRDefault="009E59BB" w:rsidP="009E59BB">
      <w:pPr>
        <w:pStyle w:val="Prrafodelista"/>
        <w:numPr>
          <w:ilvl w:val="0"/>
          <w:numId w:val="45"/>
        </w:numPr>
        <w:spacing w:after="0"/>
        <w:ind w:left="1068"/>
        <w:jc w:val="both"/>
        <w:rPr>
          <w:rFonts w:ascii="Arial" w:hAnsi="Arial" w:cs="Arial"/>
          <w:bCs/>
          <w:szCs w:val="24"/>
        </w:rPr>
      </w:pPr>
      <w:r>
        <w:rPr>
          <w:rFonts w:ascii="Arial" w:hAnsi="Arial" w:cs="Arial"/>
          <w:bCs/>
          <w:szCs w:val="24"/>
        </w:rPr>
        <w:t xml:space="preserve">Manifestaciones públicas en </w:t>
      </w:r>
      <w:r w:rsidRPr="00891702">
        <w:rPr>
          <w:rFonts w:ascii="Arial" w:hAnsi="Arial" w:cs="Arial"/>
          <w:bCs/>
          <w:szCs w:val="24"/>
        </w:rPr>
        <w:t>agosto de 2020</w:t>
      </w:r>
      <w:r>
        <w:rPr>
          <w:rFonts w:ascii="Arial" w:hAnsi="Arial" w:cs="Arial"/>
          <w:bCs/>
          <w:szCs w:val="24"/>
        </w:rPr>
        <w:t xml:space="preserve"> para pedir la renuncia del presidente</w:t>
      </w:r>
      <w:r w:rsidRPr="00891702">
        <w:rPr>
          <w:rFonts w:ascii="Arial" w:hAnsi="Arial" w:cs="Arial"/>
          <w:bCs/>
          <w:szCs w:val="24"/>
        </w:rPr>
        <w:t>:</w:t>
      </w:r>
    </w:p>
    <w:p w14:paraId="3A33FCB2" w14:textId="77777777" w:rsidR="009E59BB" w:rsidRPr="00891702" w:rsidRDefault="009525CD" w:rsidP="009E59BB">
      <w:pPr>
        <w:pStyle w:val="Prrafodelista"/>
        <w:spacing w:after="0"/>
        <w:ind w:left="1068"/>
        <w:jc w:val="both"/>
        <w:rPr>
          <w:rFonts w:ascii="Arial" w:hAnsi="Arial" w:cs="Arial"/>
          <w:bCs/>
          <w:szCs w:val="24"/>
        </w:rPr>
      </w:pPr>
      <w:hyperlink r:id="rId14" w:history="1">
        <w:r w:rsidR="009E59BB" w:rsidRPr="00891702">
          <w:rPr>
            <w:rStyle w:val="Hipervnculo"/>
            <w:rFonts w:ascii="Arial" w:hAnsi="Arial" w:cs="Arial"/>
            <w:bCs/>
            <w:szCs w:val="24"/>
          </w:rPr>
          <w:t>https://www.unotv.com/estados/ciudad-de-mexico/cdmx-cumple-frena-cuarto-mes-de-manifestaciones-antiamlo/</w:t>
        </w:r>
      </w:hyperlink>
    </w:p>
    <w:p w14:paraId="7771FECB" w14:textId="77777777" w:rsidR="009E59BB" w:rsidRPr="00891702" w:rsidRDefault="009E59BB" w:rsidP="009E59BB">
      <w:pPr>
        <w:spacing w:after="0"/>
        <w:ind w:firstLine="708"/>
        <w:jc w:val="both"/>
        <w:rPr>
          <w:rFonts w:ascii="Arial" w:hAnsi="Arial" w:cs="Arial"/>
          <w:bCs/>
          <w:szCs w:val="24"/>
        </w:rPr>
      </w:pPr>
    </w:p>
    <w:p w14:paraId="6B48B28C" w14:textId="77777777" w:rsidR="009E59BB" w:rsidRPr="00891702" w:rsidRDefault="009E59BB" w:rsidP="009E59BB">
      <w:pPr>
        <w:pStyle w:val="Prrafodelista"/>
        <w:numPr>
          <w:ilvl w:val="0"/>
          <w:numId w:val="45"/>
        </w:numPr>
        <w:spacing w:after="0"/>
        <w:ind w:left="1068"/>
        <w:jc w:val="both"/>
        <w:rPr>
          <w:rFonts w:ascii="Arial" w:hAnsi="Arial" w:cs="Arial"/>
          <w:bCs/>
          <w:szCs w:val="24"/>
        </w:rPr>
      </w:pPr>
      <w:r w:rsidRPr="00891702">
        <w:rPr>
          <w:rFonts w:ascii="Arial" w:hAnsi="Arial" w:cs="Arial"/>
          <w:bCs/>
          <w:szCs w:val="24"/>
        </w:rPr>
        <w:t>Protesta pacífica del 19 de septiembre de 2020</w:t>
      </w:r>
      <w:r>
        <w:rPr>
          <w:rFonts w:ascii="Arial" w:hAnsi="Arial" w:cs="Arial"/>
          <w:bCs/>
          <w:szCs w:val="24"/>
        </w:rPr>
        <w:t xml:space="preserve"> para exigir la renuncia del presidente de conformidad con el artículo 8, 9, 39 y 86 de la Constitución Federal, en la cual cientos de compañeros fueron incomunicados y privados de la libertad fuera de procedimiento con un cerco policial durante más de 24 horas:</w:t>
      </w:r>
    </w:p>
    <w:p w14:paraId="5EF687FD" w14:textId="77777777" w:rsidR="009E59BB" w:rsidRPr="00891702" w:rsidRDefault="009525CD" w:rsidP="009E59BB">
      <w:pPr>
        <w:pStyle w:val="Prrafodelista"/>
        <w:spacing w:after="0"/>
        <w:ind w:left="1068"/>
        <w:jc w:val="both"/>
        <w:rPr>
          <w:rFonts w:ascii="Arial" w:hAnsi="Arial" w:cs="Arial"/>
          <w:bCs/>
          <w:szCs w:val="24"/>
        </w:rPr>
      </w:pPr>
      <w:hyperlink r:id="rId15" w:history="1">
        <w:r w:rsidR="009E59BB" w:rsidRPr="00891702">
          <w:rPr>
            <w:rStyle w:val="Hipervnculo"/>
            <w:rFonts w:ascii="Arial" w:hAnsi="Arial" w:cs="Arial"/>
            <w:bCs/>
            <w:szCs w:val="24"/>
          </w:rPr>
          <w:t>https://www.animalpolitico.com/2020/09/marcha-contra-amlo-zocalo-policia-impide/</w:t>
        </w:r>
      </w:hyperlink>
    </w:p>
    <w:p w14:paraId="32CBDABD" w14:textId="77777777" w:rsidR="009E59BB" w:rsidRPr="00891702" w:rsidRDefault="009525CD" w:rsidP="009E59BB">
      <w:pPr>
        <w:pStyle w:val="Prrafodelista"/>
        <w:spacing w:after="0"/>
        <w:ind w:left="1068"/>
        <w:jc w:val="both"/>
        <w:rPr>
          <w:rFonts w:ascii="Arial" w:hAnsi="Arial" w:cs="Arial"/>
          <w:bCs/>
          <w:szCs w:val="24"/>
        </w:rPr>
      </w:pPr>
      <w:hyperlink r:id="rId16" w:history="1">
        <w:r w:rsidR="009E59BB" w:rsidRPr="00891702">
          <w:rPr>
            <w:rStyle w:val="Hipervnculo"/>
            <w:rFonts w:ascii="Arial" w:hAnsi="Arial" w:cs="Arial"/>
            <w:bCs/>
            <w:szCs w:val="24"/>
          </w:rPr>
          <w:t>https://latinus.us/2020/09/19/policia-bloquea-paso-marcha-contra-amlo-zocalo-cdmx/</w:t>
        </w:r>
      </w:hyperlink>
    </w:p>
    <w:p w14:paraId="519358BB" w14:textId="77777777" w:rsidR="009E59BB" w:rsidRPr="00891702" w:rsidRDefault="009E59BB" w:rsidP="009E59BB">
      <w:pPr>
        <w:spacing w:after="0"/>
        <w:ind w:firstLine="708"/>
        <w:jc w:val="both"/>
        <w:rPr>
          <w:rFonts w:ascii="Arial" w:hAnsi="Arial" w:cs="Arial"/>
          <w:bCs/>
          <w:szCs w:val="24"/>
        </w:rPr>
      </w:pPr>
    </w:p>
    <w:p w14:paraId="1CBFD022" w14:textId="77777777" w:rsidR="009E59BB" w:rsidRPr="00891702" w:rsidRDefault="009E59BB" w:rsidP="009E59BB">
      <w:pPr>
        <w:pStyle w:val="Prrafodelista"/>
        <w:numPr>
          <w:ilvl w:val="0"/>
          <w:numId w:val="45"/>
        </w:numPr>
        <w:spacing w:after="0"/>
        <w:ind w:left="1068"/>
        <w:jc w:val="both"/>
        <w:rPr>
          <w:rFonts w:ascii="Arial" w:hAnsi="Arial" w:cs="Arial"/>
          <w:bCs/>
          <w:szCs w:val="24"/>
        </w:rPr>
      </w:pPr>
      <w:r w:rsidRPr="00891702">
        <w:rPr>
          <w:rFonts w:ascii="Arial" w:hAnsi="Arial" w:cs="Arial"/>
          <w:bCs/>
          <w:szCs w:val="24"/>
        </w:rPr>
        <w:t xml:space="preserve">Protesta en la Plaza Constitución el 21 de septiembre de 2020. </w:t>
      </w:r>
      <w:r>
        <w:rPr>
          <w:rFonts w:ascii="Arial" w:hAnsi="Arial" w:cs="Arial"/>
          <w:bCs/>
          <w:szCs w:val="24"/>
        </w:rPr>
        <w:t>Interpusimos a</w:t>
      </w:r>
      <w:r w:rsidRPr="00891702">
        <w:rPr>
          <w:rFonts w:ascii="Arial" w:hAnsi="Arial" w:cs="Arial"/>
          <w:bCs/>
          <w:szCs w:val="24"/>
        </w:rPr>
        <w:t xml:space="preserve">mparos vs incomunicación y privación ilegal de la libertad de tránsito, deambulación, </w:t>
      </w:r>
      <w:r>
        <w:rPr>
          <w:rFonts w:ascii="Arial" w:hAnsi="Arial" w:cs="Arial"/>
          <w:bCs/>
          <w:szCs w:val="24"/>
        </w:rPr>
        <w:t>reunión y manifestación pública y logramos continuar gracias a la suspensión de plano concedida en los expedientes 890/2020 del índice del Juzgado Séptimo de Distrito en Materia Administrativa en la Ciudad de México y diverso 890/2020 del índice del Juzgado Octavo de Distrito en Materia Administrativa en la Ciudad de México:</w:t>
      </w:r>
    </w:p>
    <w:p w14:paraId="05A065CC" w14:textId="77777777" w:rsidR="009E59BB" w:rsidRPr="00891702" w:rsidRDefault="009525CD" w:rsidP="009E59BB">
      <w:pPr>
        <w:pStyle w:val="Prrafodelista"/>
        <w:spacing w:after="0"/>
        <w:ind w:left="1068"/>
        <w:jc w:val="both"/>
        <w:rPr>
          <w:rFonts w:ascii="Arial" w:hAnsi="Arial" w:cs="Arial"/>
          <w:bCs/>
          <w:szCs w:val="24"/>
        </w:rPr>
      </w:pPr>
      <w:hyperlink r:id="rId17" w:history="1">
        <w:r w:rsidR="009E59BB" w:rsidRPr="00891702">
          <w:rPr>
            <w:rStyle w:val="Hipervnculo"/>
            <w:rFonts w:ascii="Arial" w:hAnsi="Arial" w:cs="Arial"/>
            <w:bCs/>
            <w:szCs w:val="24"/>
          </w:rPr>
          <w:t>https://politica.expansion.mx/mexico/2020/09/23/el-frena-ingresa-zocalo-cdmx</w:t>
        </w:r>
      </w:hyperlink>
    </w:p>
    <w:p w14:paraId="756DF47C" w14:textId="77777777" w:rsidR="009E59BB" w:rsidRPr="00891702" w:rsidRDefault="009525CD" w:rsidP="009E59BB">
      <w:pPr>
        <w:pStyle w:val="Prrafodelista"/>
        <w:spacing w:after="0"/>
        <w:ind w:left="1068"/>
        <w:jc w:val="both"/>
        <w:rPr>
          <w:rFonts w:ascii="Arial" w:hAnsi="Arial" w:cs="Arial"/>
          <w:bCs/>
          <w:szCs w:val="24"/>
        </w:rPr>
      </w:pPr>
      <w:hyperlink r:id="rId18" w:history="1">
        <w:r w:rsidR="009E59BB" w:rsidRPr="00891702">
          <w:rPr>
            <w:rStyle w:val="Hipervnculo"/>
            <w:rFonts w:ascii="Arial" w:hAnsi="Arial" w:cs="Arial"/>
            <w:bCs/>
            <w:szCs w:val="24"/>
          </w:rPr>
          <w:t>https://noticaribepeninsular.com.mx/frena-obtiene-amparo-para-ingresar-al-zocalo-de-la-cdmx/</w:t>
        </w:r>
      </w:hyperlink>
    </w:p>
    <w:p w14:paraId="16492DCA" w14:textId="77777777" w:rsidR="009E59BB" w:rsidRPr="00891702" w:rsidRDefault="009525CD" w:rsidP="009E59BB">
      <w:pPr>
        <w:pStyle w:val="Prrafodelista"/>
        <w:spacing w:after="0"/>
        <w:ind w:left="1068"/>
        <w:jc w:val="both"/>
        <w:rPr>
          <w:rFonts w:ascii="Arial" w:hAnsi="Arial" w:cs="Arial"/>
          <w:bCs/>
          <w:szCs w:val="24"/>
        </w:rPr>
      </w:pPr>
      <w:hyperlink r:id="rId19" w:history="1">
        <w:r w:rsidR="009E59BB" w:rsidRPr="00891702">
          <w:rPr>
            <w:rStyle w:val="Hipervnculo"/>
            <w:rFonts w:ascii="Arial" w:hAnsi="Arial" w:cs="Arial"/>
            <w:bCs/>
            <w:szCs w:val="24"/>
          </w:rPr>
          <w:t>https://www.animalpolitico.com/2020/09/frena-amparo-juez-campamento-zocalo-amlo/</w:t>
        </w:r>
      </w:hyperlink>
    </w:p>
    <w:p w14:paraId="106E51DD" w14:textId="77777777" w:rsidR="009E59BB" w:rsidRPr="00891702" w:rsidRDefault="009E59BB" w:rsidP="009E59BB">
      <w:pPr>
        <w:spacing w:after="0"/>
        <w:ind w:firstLine="708"/>
        <w:jc w:val="both"/>
        <w:rPr>
          <w:rFonts w:ascii="Arial" w:hAnsi="Arial" w:cs="Arial"/>
          <w:bCs/>
          <w:szCs w:val="24"/>
        </w:rPr>
      </w:pPr>
    </w:p>
    <w:p w14:paraId="73473697" w14:textId="77777777" w:rsidR="009E59BB" w:rsidRPr="00891702" w:rsidRDefault="009E59BB" w:rsidP="009E59BB">
      <w:pPr>
        <w:pStyle w:val="Prrafodelista"/>
        <w:numPr>
          <w:ilvl w:val="0"/>
          <w:numId w:val="45"/>
        </w:numPr>
        <w:spacing w:after="0"/>
        <w:ind w:left="1068"/>
        <w:jc w:val="both"/>
        <w:rPr>
          <w:rFonts w:ascii="Arial" w:hAnsi="Arial" w:cs="Arial"/>
          <w:bCs/>
          <w:szCs w:val="24"/>
        </w:rPr>
      </w:pPr>
      <w:r w:rsidRPr="00891702">
        <w:rPr>
          <w:rFonts w:ascii="Arial" w:hAnsi="Arial" w:cs="Arial"/>
          <w:bCs/>
          <w:szCs w:val="24"/>
        </w:rPr>
        <w:t>Mega marcha del sábado 3 de octubre de 2020</w:t>
      </w:r>
      <w:r>
        <w:rPr>
          <w:rFonts w:ascii="Arial" w:hAnsi="Arial" w:cs="Arial"/>
          <w:bCs/>
          <w:szCs w:val="24"/>
        </w:rPr>
        <w:t xml:space="preserve"> para pedir le renuncia del presidente</w:t>
      </w:r>
      <w:r w:rsidRPr="00891702">
        <w:rPr>
          <w:rFonts w:ascii="Arial" w:hAnsi="Arial" w:cs="Arial"/>
          <w:bCs/>
          <w:szCs w:val="24"/>
        </w:rPr>
        <w:t>:</w:t>
      </w:r>
    </w:p>
    <w:p w14:paraId="0E063E9D" w14:textId="77777777" w:rsidR="009E59BB" w:rsidRPr="00891702" w:rsidRDefault="009525CD" w:rsidP="009E59BB">
      <w:pPr>
        <w:pStyle w:val="Prrafodelista"/>
        <w:spacing w:after="0"/>
        <w:ind w:left="1068"/>
        <w:jc w:val="both"/>
        <w:rPr>
          <w:rFonts w:ascii="Arial" w:hAnsi="Arial" w:cs="Arial"/>
          <w:bCs/>
          <w:szCs w:val="24"/>
        </w:rPr>
      </w:pPr>
      <w:hyperlink r:id="rId20" w:history="1">
        <w:r w:rsidR="009E59BB" w:rsidRPr="00891702">
          <w:rPr>
            <w:rStyle w:val="Hipervnculo"/>
            <w:rFonts w:ascii="Arial" w:hAnsi="Arial" w:cs="Arial"/>
            <w:bCs/>
            <w:szCs w:val="24"/>
          </w:rPr>
          <w:t>https://politica.expansion.mx/mexico/2020/10/03/el-frena-marcha-en-la-cdmx-para-exigir-la-salida-de-amlo-zocalo</w:t>
        </w:r>
      </w:hyperlink>
    </w:p>
    <w:p w14:paraId="209CB4F9" w14:textId="77777777" w:rsidR="009E59BB" w:rsidRPr="00891702" w:rsidRDefault="009525CD" w:rsidP="009E59BB">
      <w:pPr>
        <w:pStyle w:val="Prrafodelista"/>
        <w:spacing w:after="0"/>
        <w:ind w:left="1068"/>
        <w:jc w:val="both"/>
        <w:rPr>
          <w:rFonts w:ascii="Arial" w:hAnsi="Arial" w:cs="Arial"/>
          <w:bCs/>
          <w:szCs w:val="24"/>
        </w:rPr>
      </w:pPr>
      <w:hyperlink r:id="rId21" w:history="1">
        <w:r w:rsidR="009E59BB" w:rsidRPr="00891702">
          <w:rPr>
            <w:rStyle w:val="Hipervnculo"/>
            <w:rFonts w:ascii="Arial" w:hAnsi="Arial" w:cs="Arial"/>
            <w:bCs/>
            <w:szCs w:val="24"/>
          </w:rPr>
          <w:t>https://www.unotv.com/estados/ciudad-de-mexico/realiza-frena-marcha-por-la-democracia-en-cdmx/</w:t>
        </w:r>
      </w:hyperlink>
    </w:p>
    <w:p w14:paraId="36D7872E" w14:textId="77777777" w:rsidR="009E59BB" w:rsidRPr="00891702" w:rsidRDefault="009E59BB" w:rsidP="009E59BB">
      <w:pPr>
        <w:spacing w:after="0"/>
        <w:ind w:firstLine="708"/>
        <w:jc w:val="both"/>
        <w:rPr>
          <w:rFonts w:ascii="Arial" w:hAnsi="Arial" w:cs="Arial"/>
          <w:bCs/>
          <w:szCs w:val="24"/>
        </w:rPr>
      </w:pPr>
    </w:p>
    <w:p w14:paraId="0569B792" w14:textId="77777777" w:rsidR="009E59BB" w:rsidRPr="00891702" w:rsidRDefault="009E59BB" w:rsidP="009E59BB">
      <w:pPr>
        <w:pStyle w:val="Prrafodelista"/>
        <w:numPr>
          <w:ilvl w:val="0"/>
          <w:numId w:val="45"/>
        </w:numPr>
        <w:spacing w:after="0"/>
        <w:ind w:left="1068"/>
        <w:jc w:val="both"/>
        <w:rPr>
          <w:rFonts w:ascii="Arial" w:hAnsi="Arial" w:cs="Arial"/>
          <w:bCs/>
          <w:szCs w:val="24"/>
        </w:rPr>
      </w:pPr>
      <w:r w:rsidRPr="00891702">
        <w:rPr>
          <w:rFonts w:ascii="Arial" w:hAnsi="Arial" w:cs="Arial"/>
          <w:bCs/>
          <w:szCs w:val="24"/>
        </w:rPr>
        <w:t>Manifestación del 21 de noviembre de 2020</w:t>
      </w:r>
      <w:r>
        <w:rPr>
          <w:rFonts w:ascii="Arial" w:hAnsi="Arial" w:cs="Arial"/>
          <w:bCs/>
          <w:szCs w:val="24"/>
        </w:rPr>
        <w:t xml:space="preserve"> para insistir que renuncie el presidente</w:t>
      </w:r>
      <w:r w:rsidRPr="00891702">
        <w:rPr>
          <w:rFonts w:ascii="Arial" w:hAnsi="Arial" w:cs="Arial"/>
          <w:bCs/>
          <w:szCs w:val="24"/>
        </w:rPr>
        <w:t>:</w:t>
      </w:r>
    </w:p>
    <w:p w14:paraId="43B416EF" w14:textId="77777777" w:rsidR="009E59BB" w:rsidRPr="00891702" w:rsidRDefault="009525CD" w:rsidP="009E59BB">
      <w:pPr>
        <w:pStyle w:val="Prrafodelista"/>
        <w:spacing w:after="0"/>
        <w:ind w:left="1068"/>
        <w:jc w:val="both"/>
        <w:rPr>
          <w:rFonts w:ascii="Arial" w:hAnsi="Arial" w:cs="Arial"/>
          <w:bCs/>
          <w:szCs w:val="24"/>
        </w:rPr>
      </w:pPr>
      <w:hyperlink r:id="rId22" w:history="1">
        <w:r w:rsidR="009E59BB" w:rsidRPr="00891702">
          <w:rPr>
            <w:rStyle w:val="Hipervnculo"/>
            <w:rFonts w:ascii="Arial" w:hAnsi="Arial" w:cs="Arial"/>
            <w:bCs/>
            <w:szCs w:val="24"/>
          </w:rPr>
          <w:t>https://aristeguinoticias.com/2111/mexico/frena-marcha-sobre-reforma-por-el-gran-despertar-de-mexico-fotos-y-videos/</w:t>
        </w:r>
      </w:hyperlink>
    </w:p>
    <w:p w14:paraId="6EE09FD2" w14:textId="77777777" w:rsidR="009E59BB" w:rsidRPr="00891702" w:rsidRDefault="009E59BB" w:rsidP="009E59BB">
      <w:pPr>
        <w:spacing w:after="0"/>
        <w:ind w:firstLine="708"/>
        <w:jc w:val="both"/>
        <w:rPr>
          <w:rFonts w:ascii="Arial" w:hAnsi="Arial" w:cs="Arial"/>
          <w:bCs/>
          <w:szCs w:val="24"/>
        </w:rPr>
      </w:pPr>
    </w:p>
    <w:p w14:paraId="3A6022B1" w14:textId="77777777" w:rsidR="009E59BB" w:rsidRPr="00891702" w:rsidRDefault="009E59BB" w:rsidP="009E59BB">
      <w:pPr>
        <w:pStyle w:val="Prrafodelista"/>
        <w:numPr>
          <w:ilvl w:val="0"/>
          <w:numId w:val="45"/>
        </w:numPr>
        <w:spacing w:after="0"/>
        <w:ind w:left="1068"/>
        <w:jc w:val="both"/>
        <w:rPr>
          <w:rFonts w:ascii="Arial" w:hAnsi="Arial" w:cs="Arial"/>
          <w:bCs/>
          <w:szCs w:val="24"/>
        </w:rPr>
      </w:pPr>
      <w:r w:rsidRPr="00891702">
        <w:rPr>
          <w:rFonts w:ascii="Arial" w:hAnsi="Arial" w:cs="Arial"/>
          <w:bCs/>
          <w:szCs w:val="24"/>
        </w:rPr>
        <w:t>Juicio ciudadano</w:t>
      </w:r>
      <w:r>
        <w:rPr>
          <w:rFonts w:ascii="Arial" w:hAnsi="Arial" w:cs="Arial"/>
          <w:bCs/>
          <w:szCs w:val="24"/>
        </w:rPr>
        <w:t xml:space="preserve"> (</w:t>
      </w:r>
      <w:r w:rsidRPr="00891702">
        <w:rPr>
          <w:rFonts w:ascii="Arial" w:hAnsi="Arial" w:cs="Arial"/>
          <w:bCs/>
          <w:szCs w:val="24"/>
        </w:rPr>
        <w:t>manifestación pública</w:t>
      </w:r>
      <w:r>
        <w:rPr>
          <w:rFonts w:ascii="Arial" w:hAnsi="Arial" w:cs="Arial"/>
          <w:bCs/>
          <w:szCs w:val="24"/>
        </w:rPr>
        <w:t>)</w:t>
      </w:r>
      <w:r w:rsidRPr="00891702">
        <w:rPr>
          <w:rFonts w:ascii="Arial" w:hAnsi="Arial" w:cs="Arial"/>
          <w:bCs/>
          <w:szCs w:val="24"/>
        </w:rPr>
        <w:t xml:space="preserve"> 21 de marzo de 2021</w:t>
      </w:r>
      <w:r>
        <w:rPr>
          <w:rFonts w:ascii="Arial" w:hAnsi="Arial" w:cs="Arial"/>
          <w:bCs/>
          <w:szCs w:val="24"/>
        </w:rPr>
        <w:t>, mediante el que se resolvió a mano alzada por miles de personas la responsabilidad penal y política del presidente</w:t>
      </w:r>
      <w:r w:rsidRPr="00891702">
        <w:rPr>
          <w:rFonts w:ascii="Arial" w:hAnsi="Arial" w:cs="Arial"/>
          <w:bCs/>
          <w:szCs w:val="24"/>
        </w:rPr>
        <w:t>:</w:t>
      </w:r>
    </w:p>
    <w:p w14:paraId="151FAD41" w14:textId="77777777" w:rsidR="009E59BB" w:rsidRPr="00891702" w:rsidRDefault="009525CD" w:rsidP="009E59BB">
      <w:pPr>
        <w:pStyle w:val="Prrafodelista"/>
        <w:spacing w:after="0"/>
        <w:ind w:left="1068"/>
        <w:jc w:val="both"/>
        <w:rPr>
          <w:rFonts w:ascii="Arial" w:hAnsi="Arial" w:cs="Arial"/>
          <w:bCs/>
          <w:szCs w:val="24"/>
        </w:rPr>
      </w:pPr>
      <w:hyperlink r:id="rId23" w:history="1">
        <w:r w:rsidR="009E59BB" w:rsidRPr="00891702">
          <w:rPr>
            <w:rStyle w:val="Hipervnculo"/>
            <w:rFonts w:ascii="Arial" w:hAnsi="Arial" w:cs="Arial"/>
            <w:bCs/>
            <w:szCs w:val="24"/>
          </w:rPr>
          <w:t>https://www.proceso.com.mx/nacional/politica/2021/3/21/frena-realiza-un-juicio-ciudadano-contra-amlo-lo-declara-culpable-de-15-delitos-260468.html</w:t>
        </w:r>
      </w:hyperlink>
    </w:p>
    <w:p w14:paraId="7B465EFE" w14:textId="77777777" w:rsidR="009E59BB" w:rsidRPr="00891702" w:rsidRDefault="009525CD" w:rsidP="009E59BB">
      <w:pPr>
        <w:pStyle w:val="Prrafodelista"/>
        <w:spacing w:after="0"/>
        <w:ind w:left="1068"/>
        <w:jc w:val="both"/>
        <w:rPr>
          <w:rFonts w:ascii="Arial" w:hAnsi="Arial" w:cs="Arial"/>
          <w:bCs/>
          <w:szCs w:val="24"/>
        </w:rPr>
      </w:pPr>
      <w:hyperlink r:id="rId24" w:history="1">
        <w:r w:rsidR="009E59BB" w:rsidRPr="00891702">
          <w:rPr>
            <w:rStyle w:val="Hipervnculo"/>
            <w:rFonts w:ascii="Arial" w:hAnsi="Arial" w:cs="Arial"/>
            <w:bCs/>
            <w:szCs w:val="24"/>
          </w:rPr>
          <w:t>https://www.eleconomista.com.mx/politica/Frena-regresa-a-las-calles-de-CDMX-para-manifestarse-contra-AMLO-20210321-0022.html</w:t>
        </w:r>
      </w:hyperlink>
    </w:p>
    <w:p w14:paraId="55B721F2" w14:textId="77777777" w:rsidR="009E59BB" w:rsidRDefault="009E59BB" w:rsidP="009E59BB">
      <w:pPr>
        <w:spacing w:after="0"/>
        <w:ind w:firstLine="708"/>
        <w:jc w:val="both"/>
        <w:rPr>
          <w:rFonts w:ascii="Arial" w:hAnsi="Arial" w:cs="Arial"/>
          <w:bCs/>
          <w:szCs w:val="24"/>
        </w:rPr>
      </w:pPr>
    </w:p>
    <w:p w14:paraId="6D9E1B80" w14:textId="77777777" w:rsidR="009E59BB" w:rsidRPr="00A71B10" w:rsidRDefault="009E59BB" w:rsidP="009E59BB">
      <w:pPr>
        <w:pStyle w:val="Prrafodelista"/>
        <w:numPr>
          <w:ilvl w:val="0"/>
          <w:numId w:val="45"/>
        </w:numPr>
        <w:spacing w:after="0"/>
        <w:ind w:left="1068"/>
        <w:jc w:val="both"/>
        <w:rPr>
          <w:rFonts w:ascii="Arial" w:hAnsi="Arial" w:cs="Arial"/>
          <w:bCs/>
          <w:szCs w:val="24"/>
        </w:rPr>
      </w:pPr>
      <w:r w:rsidRPr="00A71B10">
        <w:rPr>
          <w:rFonts w:ascii="Arial" w:hAnsi="Arial" w:cs="Arial"/>
          <w:bCs/>
          <w:szCs w:val="24"/>
        </w:rPr>
        <w:t>Interposición de</w:t>
      </w:r>
      <w:r>
        <w:rPr>
          <w:rFonts w:ascii="Arial" w:hAnsi="Arial" w:cs="Arial"/>
          <w:bCs/>
          <w:szCs w:val="24"/>
        </w:rPr>
        <w:t xml:space="preserve"> denuncia penal a través de</w:t>
      </w:r>
      <w:r w:rsidRPr="00A71B10">
        <w:rPr>
          <w:rFonts w:ascii="Arial" w:hAnsi="Arial" w:cs="Arial"/>
          <w:bCs/>
          <w:szCs w:val="24"/>
        </w:rPr>
        <w:t xml:space="preserve"> juicio político contra López Obrador 24 de septiembre de 2021</w:t>
      </w:r>
      <w:r>
        <w:rPr>
          <w:rFonts w:ascii="Arial" w:hAnsi="Arial" w:cs="Arial"/>
          <w:bCs/>
          <w:szCs w:val="24"/>
        </w:rPr>
        <w:t xml:space="preserve"> en la Cámara de Diputados y Cámara de Senadores:</w:t>
      </w:r>
    </w:p>
    <w:p w14:paraId="6591EE7D" w14:textId="77777777" w:rsidR="009E59BB" w:rsidRDefault="009525CD" w:rsidP="009E59BB">
      <w:pPr>
        <w:spacing w:after="0"/>
        <w:ind w:left="708"/>
        <w:jc w:val="both"/>
        <w:rPr>
          <w:rFonts w:ascii="Arial" w:hAnsi="Arial" w:cs="Arial"/>
          <w:bCs/>
          <w:szCs w:val="24"/>
        </w:rPr>
      </w:pPr>
      <w:hyperlink r:id="rId25" w:history="1">
        <w:r w:rsidR="009E59BB" w:rsidRPr="006E5748">
          <w:rPr>
            <w:rStyle w:val="Hipervnculo"/>
            <w:rFonts w:ascii="Arial" w:hAnsi="Arial" w:cs="Arial"/>
            <w:bCs/>
            <w:szCs w:val="24"/>
          </w:rPr>
          <w:t>https://www.tvazteca.com/aztecanoticias/frena-presenta-primera-demanda-para-proceder-penalmente-contra-amlo-nr</w:t>
        </w:r>
      </w:hyperlink>
    </w:p>
    <w:p w14:paraId="2A772E51" w14:textId="77777777" w:rsidR="009E59BB" w:rsidRPr="00891702" w:rsidRDefault="009E59BB" w:rsidP="009E59BB">
      <w:pPr>
        <w:spacing w:after="0"/>
        <w:ind w:left="708"/>
        <w:jc w:val="both"/>
        <w:rPr>
          <w:rFonts w:ascii="Arial" w:hAnsi="Arial" w:cs="Arial"/>
          <w:bCs/>
          <w:szCs w:val="24"/>
        </w:rPr>
      </w:pPr>
    </w:p>
    <w:p w14:paraId="3938AB66" w14:textId="2CB02AE2" w:rsidR="009E59BB" w:rsidRDefault="009E59BB" w:rsidP="009E59BB">
      <w:pPr>
        <w:pStyle w:val="Prrafodelista"/>
        <w:numPr>
          <w:ilvl w:val="0"/>
          <w:numId w:val="45"/>
        </w:numPr>
        <w:spacing w:after="0"/>
        <w:ind w:left="1068"/>
        <w:jc w:val="both"/>
        <w:rPr>
          <w:rFonts w:ascii="Arial" w:hAnsi="Arial" w:cs="Arial"/>
          <w:bCs/>
          <w:szCs w:val="24"/>
        </w:rPr>
      </w:pPr>
      <w:r>
        <w:rPr>
          <w:rFonts w:ascii="Arial" w:hAnsi="Arial" w:cs="Arial"/>
          <w:bCs/>
          <w:szCs w:val="24"/>
        </w:rPr>
        <w:t>Marcha por la revocación de</w:t>
      </w:r>
      <w:r w:rsidR="00724837">
        <w:rPr>
          <w:rFonts w:ascii="Arial" w:hAnsi="Arial" w:cs="Arial"/>
          <w:bCs/>
          <w:szCs w:val="24"/>
        </w:rPr>
        <w:t>l</w:t>
      </w:r>
      <w:r>
        <w:rPr>
          <w:rFonts w:ascii="Arial" w:hAnsi="Arial" w:cs="Arial"/>
          <w:bCs/>
          <w:szCs w:val="24"/>
        </w:rPr>
        <w:t xml:space="preserve"> mandato</w:t>
      </w:r>
      <w:r w:rsidR="00724837">
        <w:rPr>
          <w:rFonts w:ascii="Arial" w:hAnsi="Arial" w:cs="Arial"/>
          <w:bCs/>
          <w:szCs w:val="24"/>
        </w:rPr>
        <w:t xml:space="preserve"> del presidente el</w:t>
      </w:r>
      <w:r>
        <w:rPr>
          <w:rFonts w:ascii="Arial" w:hAnsi="Arial" w:cs="Arial"/>
          <w:bCs/>
          <w:szCs w:val="24"/>
        </w:rPr>
        <w:t xml:space="preserve"> 09 de octubre de 2022:</w:t>
      </w:r>
    </w:p>
    <w:p w14:paraId="4E1436F4" w14:textId="77777777" w:rsidR="009E59BB" w:rsidRDefault="009525CD" w:rsidP="009E59BB">
      <w:pPr>
        <w:pStyle w:val="Prrafodelista"/>
        <w:spacing w:after="0"/>
        <w:ind w:left="1068"/>
        <w:jc w:val="both"/>
        <w:rPr>
          <w:rFonts w:ascii="Arial" w:hAnsi="Arial" w:cs="Arial"/>
          <w:bCs/>
          <w:szCs w:val="24"/>
        </w:rPr>
      </w:pPr>
      <w:hyperlink r:id="rId26" w:history="1">
        <w:r w:rsidR="009E59BB" w:rsidRPr="006E5748">
          <w:rPr>
            <w:rStyle w:val="Hipervnculo"/>
            <w:rFonts w:ascii="Arial" w:hAnsi="Arial" w:cs="Arial"/>
            <w:bCs/>
            <w:szCs w:val="24"/>
          </w:rPr>
          <w:t>https://latinus.us/2021/10/09/integrantes-frena-marchan-cdmx-revocacion-mandato-amlo/</w:t>
        </w:r>
      </w:hyperlink>
    </w:p>
    <w:p w14:paraId="788D12BE" w14:textId="77777777" w:rsidR="009E59BB" w:rsidRDefault="009E59BB" w:rsidP="009E59BB">
      <w:pPr>
        <w:pStyle w:val="Prrafodelista"/>
        <w:spacing w:after="0"/>
        <w:ind w:left="1068"/>
        <w:jc w:val="both"/>
        <w:rPr>
          <w:rFonts w:ascii="Arial" w:hAnsi="Arial" w:cs="Arial"/>
          <w:bCs/>
          <w:szCs w:val="24"/>
        </w:rPr>
      </w:pPr>
    </w:p>
    <w:p w14:paraId="5714F6A3" w14:textId="61513445" w:rsidR="009E59BB" w:rsidRPr="008E20E6" w:rsidRDefault="009E59BB" w:rsidP="009E59BB">
      <w:pPr>
        <w:pStyle w:val="Prrafodelista"/>
        <w:numPr>
          <w:ilvl w:val="0"/>
          <w:numId w:val="45"/>
        </w:numPr>
        <w:spacing w:after="0"/>
        <w:ind w:left="1068"/>
        <w:jc w:val="both"/>
        <w:rPr>
          <w:rFonts w:ascii="Arial" w:hAnsi="Arial" w:cs="Arial"/>
          <w:bCs/>
          <w:szCs w:val="24"/>
        </w:rPr>
      </w:pPr>
      <w:r w:rsidRPr="008E20E6">
        <w:rPr>
          <w:rFonts w:ascii="Arial" w:hAnsi="Arial" w:cs="Arial"/>
          <w:bCs/>
          <w:szCs w:val="24"/>
        </w:rPr>
        <w:t xml:space="preserve">Marzo 2022, </w:t>
      </w:r>
      <w:r w:rsidR="00724837">
        <w:rPr>
          <w:rFonts w:ascii="Arial" w:hAnsi="Arial" w:cs="Arial"/>
          <w:bCs/>
          <w:szCs w:val="24"/>
        </w:rPr>
        <w:t>integrantes de FRENA participaron</w:t>
      </w:r>
      <w:r w:rsidRPr="008E20E6">
        <w:rPr>
          <w:rFonts w:ascii="Arial" w:hAnsi="Arial" w:cs="Arial"/>
          <w:bCs/>
          <w:szCs w:val="24"/>
        </w:rPr>
        <w:t xml:space="preserve"> en foros de debate político</w:t>
      </w:r>
      <w:r w:rsidR="004040C6">
        <w:rPr>
          <w:rFonts w:ascii="Arial" w:hAnsi="Arial" w:cs="Arial"/>
          <w:bCs/>
          <w:szCs w:val="24"/>
        </w:rPr>
        <w:t xml:space="preserve"> en el Instituto Nacional Electoral</w:t>
      </w:r>
      <w:r w:rsidRPr="008E20E6">
        <w:rPr>
          <w:rFonts w:ascii="Arial" w:hAnsi="Arial" w:cs="Arial"/>
          <w:bCs/>
          <w:szCs w:val="24"/>
        </w:rPr>
        <w:t>:</w:t>
      </w:r>
    </w:p>
    <w:p w14:paraId="5A46AF8B" w14:textId="77777777" w:rsidR="009E59BB" w:rsidRDefault="009525CD" w:rsidP="009E59BB">
      <w:pPr>
        <w:pStyle w:val="Prrafodelista"/>
        <w:spacing w:after="0"/>
        <w:ind w:left="1068"/>
        <w:jc w:val="both"/>
        <w:rPr>
          <w:rFonts w:ascii="Arial" w:hAnsi="Arial" w:cs="Arial"/>
          <w:bCs/>
          <w:szCs w:val="24"/>
        </w:rPr>
      </w:pPr>
      <w:hyperlink r:id="rId27" w:history="1">
        <w:r w:rsidR="009E59BB" w:rsidRPr="006E5748">
          <w:rPr>
            <w:rStyle w:val="Hipervnculo"/>
            <w:rFonts w:ascii="Arial" w:hAnsi="Arial" w:cs="Arial"/>
            <w:bCs/>
            <w:szCs w:val="24"/>
          </w:rPr>
          <w:t>https://centralelectoral.ine.mx/2022/03/25/version-estenografica-del-primer-foro-nacional-de-discusion-sobre-la-revocacion-de-mandato/</w:t>
        </w:r>
      </w:hyperlink>
    </w:p>
    <w:p w14:paraId="64C949A6" w14:textId="77777777" w:rsidR="009E59BB" w:rsidRDefault="009525CD" w:rsidP="009E59BB">
      <w:pPr>
        <w:pStyle w:val="Prrafodelista"/>
        <w:spacing w:after="0"/>
        <w:ind w:left="1068"/>
        <w:jc w:val="both"/>
        <w:rPr>
          <w:rFonts w:ascii="Arial" w:hAnsi="Arial" w:cs="Arial"/>
          <w:bCs/>
          <w:szCs w:val="24"/>
        </w:rPr>
      </w:pPr>
      <w:hyperlink r:id="rId28" w:history="1">
        <w:r w:rsidR="009E59BB" w:rsidRPr="006E5748">
          <w:rPr>
            <w:rStyle w:val="Hipervnculo"/>
            <w:rFonts w:ascii="Arial" w:hAnsi="Arial" w:cs="Arial"/>
            <w:bCs/>
            <w:szCs w:val="24"/>
          </w:rPr>
          <w:t>https://centralelectoral.ine.mx/2022/03/31/version-estenografica-del-segundo-foro-nacional-de-discusion-sobre-la-revocacion-de-mandato/</w:t>
        </w:r>
      </w:hyperlink>
    </w:p>
    <w:p w14:paraId="191B6390" w14:textId="77777777" w:rsidR="009E59BB" w:rsidRDefault="009525CD" w:rsidP="009E59BB">
      <w:pPr>
        <w:pStyle w:val="Prrafodelista"/>
        <w:spacing w:after="0"/>
        <w:ind w:left="1068"/>
        <w:jc w:val="both"/>
        <w:rPr>
          <w:rFonts w:ascii="Arial" w:hAnsi="Arial" w:cs="Arial"/>
          <w:bCs/>
          <w:szCs w:val="24"/>
        </w:rPr>
      </w:pPr>
      <w:hyperlink r:id="rId29" w:history="1">
        <w:r w:rsidR="009E59BB" w:rsidRPr="006E5748">
          <w:rPr>
            <w:rStyle w:val="Hipervnculo"/>
            <w:rFonts w:ascii="Arial" w:hAnsi="Arial" w:cs="Arial"/>
            <w:bCs/>
            <w:szCs w:val="24"/>
          </w:rPr>
          <w:t>https://centralelectoral.ine.mx/2022/04/03/version-estenografica-del-tercer-foro-nacional-de-discusion-sobre-la-revocacion-de-mandato/</w:t>
        </w:r>
      </w:hyperlink>
    </w:p>
    <w:p w14:paraId="4AC74143" w14:textId="77777777" w:rsidR="009E59BB" w:rsidRDefault="009E59BB" w:rsidP="009E59BB">
      <w:pPr>
        <w:pStyle w:val="Prrafodelista"/>
        <w:spacing w:after="0"/>
        <w:ind w:left="1068"/>
        <w:jc w:val="both"/>
        <w:rPr>
          <w:rFonts w:ascii="Arial" w:hAnsi="Arial" w:cs="Arial"/>
          <w:bCs/>
          <w:szCs w:val="24"/>
        </w:rPr>
      </w:pPr>
    </w:p>
    <w:p w14:paraId="591F78C9" w14:textId="7FA852A6" w:rsidR="009E59BB" w:rsidRPr="00891702" w:rsidRDefault="009E59BB" w:rsidP="009E59BB">
      <w:pPr>
        <w:pStyle w:val="Prrafodelista"/>
        <w:numPr>
          <w:ilvl w:val="0"/>
          <w:numId w:val="45"/>
        </w:numPr>
        <w:spacing w:after="0"/>
        <w:ind w:left="1068"/>
        <w:jc w:val="both"/>
        <w:rPr>
          <w:rFonts w:ascii="Arial" w:hAnsi="Arial" w:cs="Arial"/>
          <w:bCs/>
          <w:szCs w:val="24"/>
        </w:rPr>
      </w:pPr>
      <w:r w:rsidRPr="00891702">
        <w:rPr>
          <w:rFonts w:ascii="Arial" w:hAnsi="Arial" w:cs="Arial"/>
          <w:bCs/>
          <w:szCs w:val="24"/>
        </w:rPr>
        <w:t>Protesta 13 de julio de 2022</w:t>
      </w:r>
      <w:r w:rsidR="00724837">
        <w:rPr>
          <w:rFonts w:ascii="Arial" w:hAnsi="Arial" w:cs="Arial"/>
          <w:bCs/>
          <w:szCs w:val="24"/>
        </w:rPr>
        <w:t>, para presionar a que se procese penalmente al presidente</w:t>
      </w:r>
      <w:r w:rsidRPr="00891702">
        <w:rPr>
          <w:rFonts w:ascii="Arial" w:hAnsi="Arial" w:cs="Arial"/>
          <w:bCs/>
          <w:szCs w:val="24"/>
        </w:rPr>
        <w:t>:</w:t>
      </w:r>
    </w:p>
    <w:p w14:paraId="2769A1DE" w14:textId="77777777" w:rsidR="009E59BB" w:rsidRPr="00891702" w:rsidRDefault="009525CD" w:rsidP="009E59BB">
      <w:pPr>
        <w:pStyle w:val="Prrafodelista"/>
        <w:spacing w:after="0"/>
        <w:ind w:left="1068"/>
        <w:jc w:val="both"/>
        <w:rPr>
          <w:rFonts w:ascii="Arial" w:hAnsi="Arial" w:cs="Arial"/>
          <w:bCs/>
          <w:szCs w:val="24"/>
        </w:rPr>
      </w:pPr>
      <w:hyperlink r:id="rId30" w:history="1">
        <w:r w:rsidR="009E59BB" w:rsidRPr="00891702">
          <w:rPr>
            <w:rStyle w:val="Hipervnculo"/>
            <w:rFonts w:ascii="Arial" w:hAnsi="Arial" w:cs="Arial"/>
            <w:bCs/>
            <w:szCs w:val="24"/>
          </w:rPr>
          <w:t>https://www.debate.com.mx/politica/Protesta-Frena-frente-al-Senado-para-exigir-juicio-politico-contra-AMLO-20220713-0200.html</w:t>
        </w:r>
      </w:hyperlink>
    </w:p>
    <w:p w14:paraId="1A739C3D" w14:textId="77777777" w:rsidR="009E59BB" w:rsidRPr="00891702" w:rsidRDefault="009525CD" w:rsidP="009E59BB">
      <w:pPr>
        <w:pStyle w:val="Prrafodelista"/>
        <w:spacing w:after="0"/>
        <w:ind w:left="1068"/>
        <w:jc w:val="both"/>
        <w:rPr>
          <w:rFonts w:ascii="Arial" w:hAnsi="Arial" w:cs="Arial"/>
          <w:bCs/>
          <w:szCs w:val="24"/>
        </w:rPr>
      </w:pPr>
      <w:hyperlink r:id="rId31" w:history="1">
        <w:r w:rsidR="009E59BB" w:rsidRPr="00891702">
          <w:rPr>
            <w:rStyle w:val="Hipervnculo"/>
            <w:rFonts w:ascii="Arial" w:hAnsi="Arial" w:cs="Arial"/>
            <w:bCs/>
            <w:szCs w:val="24"/>
          </w:rPr>
          <w:t>https://frena.com.mx/2022/09/01/frena-gana-amparo-en-tribunal-colegiado-al-presidente-de-mexico-secretario-de-la-defensa-y-secretaria-de-seguridad-ciudadana/</w:t>
        </w:r>
      </w:hyperlink>
    </w:p>
    <w:p w14:paraId="603D9AC9" w14:textId="77777777" w:rsidR="009E59BB" w:rsidRPr="00891702" w:rsidRDefault="009E59BB" w:rsidP="009E59BB">
      <w:pPr>
        <w:spacing w:after="0"/>
        <w:ind w:firstLine="708"/>
        <w:jc w:val="both"/>
        <w:rPr>
          <w:rFonts w:ascii="Arial" w:hAnsi="Arial" w:cs="Arial"/>
          <w:bCs/>
          <w:szCs w:val="24"/>
        </w:rPr>
      </w:pPr>
    </w:p>
    <w:p w14:paraId="36680DED" w14:textId="231AF371" w:rsidR="009E59BB" w:rsidRPr="00891702" w:rsidRDefault="009E59BB" w:rsidP="009E59BB">
      <w:pPr>
        <w:pStyle w:val="Prrafodelista"/>
        <w:numPr>
          <w:ilvl w:val="0"/>
          <w:numId w:val="45"/>
        </w:numPr>
        <w:spacing w:after="0"/>
        <w:ind w:left="1068"/>
        <w:jc w:val="both"/>
        <w:rPr>
          <w:rFonts w:ascii="Arial" w:hAnsi="Arial" w:cs="Arial"/>
          <w:bCs/>
          <w:szCs w:val="24"/>
        </w:rPr>
      </w:pPr>
      <w:r w:rsidRPr="00891702">
        <w:rPr>
          <w:rFonts w:ascii="Arial" w:hAnsi="Arial" w:cs="Arial"/>
          <w:bCs/>
          <w:szCs w:val="24"/>
        </w:rPr>
        <w:t>Marcha del 3 de septiembre 2022</w:t>
      </w:r>
      <w:r w:rsidR="00724837">
        <w:rPr>
          <w:rFonts w:ascii="Arial" w:hAnsi="Arial" w:cs="Arial"/>
          <w:bCs/>
          <w:szCs w:val="24"/>
        </w:rPr>
        <w:t>, por la Paz y la Unión</w:t>
      </w:r>
      <w:r w:rsidRPr="00891702">
        <w:rPr>
          <w:rFonts w:ascii="Arial" w:hAnsi="Arial" w:cs="Arial"/>
          <w:bCs/>
          <w:szCs w:val="24"/>
        </w:rPr>
        <w:t>:</w:t>
      </w:r>
    </w:p>
    <w:p w14:paraId="50EB0F12" w14:textId="77777777" w:rsidR="009E59BB" w:rsidRPr="00891702" w:rsidRDefault="009525CD" w:rsidP="009E59BB">
      <w:pPr>
        <w:pStyle w:val="Prrafodelista"/>
        <w:spacing w:after="0"/>
        <w:ind w:left="1068"/>
        <w:jc w:val="both"/>
        <w:rPr>
          <w:rFonts w:ascii="Arial" w:hAnsi="Arial" w:cs="Arial"/>
          <w:bCs/>
          <w:szCs w:val="24"/>
        </w:rPr>
      </w:pPr>
      <w:hyperlink r:id="rId32" w:history="1">
        <w:r w:rsidR="009E59BB" w:rsidRPr="00891702">
          <w:rPr>
            <w:rStyle w:val="Hipervnculo"/>
            <w:rFonts w:ascii="Arial" w:hAnsi="Arial" w:cs="Arial"/>
            <w:bCs/>
            <w:szCs w:val="24"/>
          </w:rPr>
          <w:t>https://frena.com.mx/2022/09/04/frena-llena-el-zocalo-en-gran-marcha-de-la-paz-y-la-unidad/</w:t>
        </w:r>
      </w:hyperlink>
    </w:p>
    <w:p w14:paraId="64ADF470" w14:textId="77777777" w:rsidR="009E59BB" w:rsidRPr="00891702" w:rsidRDefault="009525CD" w:rsidP="009E59BB">
      <w:pPr>
        <w:pStyle w:val="Prrafodelista"/>
        <w:spacing w:after="0"/>
        <w:ind w:left="1068"/>
        <w:jc w:val="both"/>
        <w:rPr>
          <w:rFonts w:ascii="Arial" w:hAnsi="Arial" w:cs="Arial"/>
          <w:bCs/>
          <w:szCs w:val="24"/>
        </w:rPr>
      </w:pPr>
      <w:hyperlink r:id="rId33" w:history="1">
        <w:r w:rsidR="009E59BB" w:rsidRPr="00891702">
          <w:rPr>
            <w:rStyle w:val="Hipervnculo"/>
            <w:rFonts w:ascii="Arial" w:hAnsi="Arial" w:cs="Arial"/>
            <w:bCs/>
            <w:szCs w:val="24"/>
          </w:rPr>
          <w:t>https://latinus.us/2022/09/03/no-militarizacion-cierran-reforma-marcha-gobierno-amlo/</w:t>
        </w:r>
      </w:hyperlink>
    </w:p>
    <w:p w14:paraId="008750CC" w14:textId="77777777" w:rsidR="009E59BB" w:rsidRDefault="009525CD" w:rsidP="009E59BB">
      <w:pPr>
        <w:pStyle w:val="Prrafodelista"/>
        <w:spacing w:after="0"/>
        <w:ind w:left="1068"/>
        <w:jc w:val="both"/>
        <w:rPr>
          <w:rStyle w:val="Hipervnculo"/>
          <w:rFonts w:ascii="Arial" w:hAnsi="Arial" w:cs="Arial"/>
          <w:bCs/>
          <w:szCs w:val="24"/>
        </w:rPr>
      </w:pPr>
      <w:hyperlink r:id="rId34" w:history="1">
        <w:r w:rsidR="009E59BB" w:rsidRPr="00891702">
          <w:rPr>
            <w:rStyle w:val="Hipervnculo"/>
            <w:rFonts w:ascii="Arial" w:hAnsi="Arial" w:cs="Arial"/>
            <w:bCs/>
            <w:szCs w:val="24"/>
          </w:rPr>
          <w:t>https://www.m-x.com.mx/investigaciones/sedena-vigilo-a-un-militar-que-participaba-en-el-grupo-opositor-frena</w:t>
        </w:r>
      </w:hyperlink>
    </w:p>
    <w:p w14:paraId="623348FF" w14:textId="77777777" w:rsidR="009E59BB" w:rsidRDefault="009E59BB" w:rsidP="009E59BB">
      <w:pPr>
        <w:spacing w:after="0"/>
        <w:jc w:val="both"/>
        <w:rPr>
          <w:rFonts w:ascii="Arial" w:hAnsi="Arial" w:cs="Arial"/>
          <w:sz w:val="24"/>
        </w:rPr>
      </w:pPr>
    </w:p>
    <w:p w14:paraId="648442E4" w14:textId="77777777" w:rsidR="009E59BB" w:rsidRPr="00E86A47" w:rsidRDefault="009E59BB" w:rsidP="009E59BB">
      <w:pPr>
        <w:pStyle w:val="Prrafodelista"/>
        <w:numPr>
          <w:ilvl w:val="0"/>
          <w:numId w:val="45"/>
        </w:numPr>
        <w:spacing w:after="0"/>
        <w:ind w:left="1068"/>
        <w:jc w:val="both"/>
        <w:rPr>
          <w:rFonts w:ascii="Arial" w:hAnsi="Arial" w:cs="Arial"/>
          <w:bCs/>
          <w:szCs w:val="24"/>
        </w:rPr>
      </w:pPr>
      <w:r w:rsidRPr="00E86A47">
        <w:rPr>
          <w:rFonts w:ascii="Arial" w:hAnsi="Arial" w:cs="Arial"/>
          <w:bCs/>
          <w:szCs w:val="24"/>
        </w:rPr>
        <w:t>El 17 de marzo de 2022 y el 4 de mayo de 2022, respectivamente, se dictaron las sentencias que resolvieron los Amparos en Revisión 123/2021, 181/2021 y 191/2021, del índice del Primer Tribunal Colegiado en Materias Administrativa y de Trabajo del Décimo Primer Circuito, mediante las cuales se confirmó la concesión del Amparo y Protección de la Justicia Federal a los quejosos quienes son nuestros compañeros integrantes del Frente Nacional Ciudadano, contra el ACUERDO por el que se dispone de la Fuerza Armada permanente para llevar a cabo tareas de seguridad pública de manera extraordinaria, regulada, fiscalizada, subordinada y complementaria, publicado el once de mayo de dos mil veinte en el diario Oficial de la Federación.</w:t>
      </w:r>
    </w:p>
    <w:p w14:paraId="41070B7B" w14:textId="77777777" w:rsidR="009E59BB" w:rsidRPr="00BC7057" w:rsidRDefault="009E59BB" w:rsidP="009E59BB">
      <w:pPr>
        <w:spacing w:after="0"/>
        <w:ind w:firstLine="708"/>
        <w:jc w:val="both"/>
        <w:rPr>
          <w:rFonts w:ascii="Arial" w:hAnsi="Arial" w:cs="Arial"/>
          <w:bCs/>
          <w:sz w:val="24"/>
          <w:szCs w:val="24"/>
        </w:rPr>
      </w:pPr>
    </w:p>
    <w:p w14:paraId="31305F9D" w14:textId="6C7E3CDB" w:rsidR="009E59BB" w:rsidRPr="001B42F7" w:rsidRDefault="009E59BB" w:rsidP="009E59BB">
      <w:pPr>
        <w:spacing w:after="0"/>
        <w:ind w:firstLine="708"/>
        <w:jc w:val="both"/>
        <w:rPr>
          <w:rFonts w:ascii="Arial" w:hAnsi="Arial" w:cs="Arial"/>
          <w:sz w:val="24"/>
          <w:szCs w:val="24"/>
        </w:rPr>
      </w:pPr>
      <w:r>
        <w:rPr>
          <w:rFonts w:ascii="Arial" w:hAnsi="Arial" w:cs="Arial"/>
          <w:sz w:val="24"/>
          <w:szCs w:val="24"/>
        </w:rPr>
        <w:t xml:space="preserve">En conclusión, </w:t>
      </w:r>
      <w:r w:rsidR="009B58F5">
        <w:rPr>
          <w:rFonts w:ascii="Arial" w:hAnsi="Arial" w:cs="Arial"/>
          <w:sz w:val="24"/>
          <w:szCs w:val="24"/>
        </w:rPr>
        <w:t>lo que podría considerarse nuestro objeto social</w:t>
      </w:r>
      <w:r>
        <w:rPr>
          <w:rFonts w:ascii="Arial" w:hAnsi="Arial" w:cs="Arial"/>
          <w:sz w:val="24"/>
          <w:szCs w:val="24"/>
        </w:rPr>
        <w:t xml:space="preserve"> de los integrantes que participamos en el Frente Nacional Ci</w:t>
      </w:r>
      <w:r w:rsidR="009B58F5">
        <w:rPr>
          <w:rFonts w:ascii="Arial" w:hAnsi="Arial" w:cs="Arial"/>
          <w:sz w:val="24"/>
          <w:szCs w:val="24"/>
        </w:rPr>
        <w:t xml:space="preserve">udadano (aquí quejosos) </w:t>
      </w:r>
      <w:r>
        <w:rPr>
          <w:rFonts w:ascii="Arial" w:hAnsi="Arial" w:cs="Arial"/>
          <w:sz w:val="24"/>
          <w:szCs w:val="24"/>
        </w:rPr>
        <w:t xml:space="preserve">es </w:t>
      </w:r>
      <w:r>
        <w:rPr>
          <w:rFonts w:ascii="Arial" w:hAnsi="Arial" w:cs="Arial"/>
          <w:sz w:val="24"/>
          <w:szCs w:val="24"/>
        </w:rPr>
        <w:lastRenderedPageBreak/>
        <w:t xml:space="preserve">prácticamente el ejercicio de los derechos de libertad civiles y políticos para denunciar los actos que consideramos inconstitucionales o un abuso por parte del presidente de México y de otras autoridades, así como el escrutinio público y la deliberación de ideas. </w:t>
      </w:r>
    </w:p>
    <w:p w14:paraId="27D0E167" w14:textId="77777777" w:rsidR="009E59BB" w:rsidRDefault="009E59BB" w:rsidP="009E59BB">
      <w:pPr>
        <w:spacing w:after="0"/>
        <w:ind w:firstLine="708"/>
        <w:jc w:val="both"/>
        <w:rPr>
          <w:rFonts w:ascii="Arial" w:hAnsi="Arial" w:cs="Arial"/>
          <w:b/>
          <w:sz w:val="24"/>
          <w:szCs w:val="24"/>
        </w:rPr>
      </w:pPr>
    </w:p>
    <w:p w14:paraId="1363FE51" w14:textId="4FBEB599" w:rsidR="009E59BB" w:rsidRDefault="009E59BB" w:rsidP="009E59BB">
      <w:pPr>
        <w:spacing w:after="0"/>
        <w:ind w:firstLine="708"/>
        <w:jc w:val="both"/>
        <w:rPr>
          <w:rFonts w:ascii="Arial" w:hAnsi="Arial" w:cs="Arial"/>
          <w:bCs/>
          <w:sz w:val="24"/>
          <w:szCs w:val="24"/>
        </w:rPr>
      </w:pPr>
      <w:r>
        <w:rPr>
          <w:rFonts w:ascii="Arial" w:hAnsi="Arial" w:cs="Arial"/>
          <w:bCs/>
          <w:sz w:val="24"/>
          <w:szCs w:val="24"/>
        </w:rPr>
        <w:t>Sabemos que México es un país reconocido por sus múltiples casos de desaparición forzada de personas, tortura, privación de la vida y violaciones a derechos humanos cometidas por parte del Estado, específicamente por las Fuerzas Armadas Permanentes, que han sido demandadas ante las dependencias y organismos en búsqueda de que las autoridades responsables reparen tales aberraciones. Al respecto, la propia Corte Interamericana de Derechos Humanos ha dictado diversas sentencias por violaciones a derechos humanos perpetradas por agentes militares del Estado Mexicano al ejercer funciones de policía o de seguridad:</w:t>
      </w:r>
    </w:p>
    <w:p w14:paraId="7E20315A" w14:textId="77777777" w:rsidR="009E59BB" w:rsidRDefault="009E59BB" w:rsidP="009E59BB">
      <w:pPr>
        <w:spacing w:after="0"/>
        <w:ind w:firstLine="708"/>
        <w:jc w:val="both"/>
        <w:rPr>
          <w:rFonts w:ascii="Arial" w:hAnsi="Arial" w:cs="Arial"/>
          <w:bCs/>
          <w:sz w:val="24"/>
          <w:szCs w:val="24"/>
        </w:rPr>
      </w:pPr>
    </w:p>
    <w:p w14:paraId="34125849" w14:textId="77777777" w:rsidR="009E59BB" w:rsidRDefault="009E59BB" w:rsidP="009E59BB">
      <w:pPr>
        <w:spacing w:after="0"/>
        <w:ind w:firstLine="708"/>
        <w:jc w:val="both"/>
        <w:rPr>
          <w:rFonts w:ascii="Arial" w:hAnsi="Arial" w:cs="Arial"/>
          <w:bCs/>
          <w:sz w:val="24"/>
          <w:szCs w:val="24"/>
        </w:rPr>
      </w:pPr>
      <w:r>
        <w:rPr>
          <w:rFonts w:ascii="Arial" w:hAnsi="Arial" w:cs="Arial"/>
          <w:bCs/>
          <w:sz w:val="24"/>
          <w:szCs w:val="24"/>
        </w:rPr>
        <w:t>CIDH, caso Radilla Pacheco vs. Estados Unidos Mexicanos, sentencia de 23 de noviembre de 2009. El cual derivó de su desaparición forzada realizada por agentes militares que realizaban funciones de policía, específicamente un retén.</w:t>
      </w:r>
    </w:p>
    <w:p w14:paraId="3ED1B579" w14:textId="77777777" w:rsidR="009E59BB" w:rsidRDefault="009E59BB" w:rsidP="009E59BB">
      <w:pPr>
        <w:spacing w:after="0"/>
        <w:ind w:firstLine="708"/>
        <w:jc w:val="both"/>
        <w:rPr>
          <w:rFonts w:ascii="Arial" w:hAnsi="Arial" w:cs="Arial"/>
          <w:bCs/>
          <w:sz w:val="24"/>
          <w:szCs w:val="24"/>
        </w:rPr>
      </w:pPr>
    </w:p>
    <w:p w14:paraId="0E2BAB57" w14:textId="77777777" w:rsidR="009E59BB" w:rsidRDefault="009E59BB" w:rsidP="009E59BB">
      <w:pPr>
        <w:spacing w:after="0"/>
        <w:ind w:firstLine="708"/>
        <w:jc w:val="both"/>
        <w:rPr>
          <w:rFonts w:ascii="Arial" w:hAnsi="Arial" w:cs="Arial"/>
          <w:bCs/>
          <w:sz w:val="24"/>
          <w:szCs w:val="24"/>
        </w:rPr>
      </w:pPr>
      <w:r>
        <w:rPr>
          <w:rFonts w:ascii="Arial" w:hAnsi="Arial" w:cs="Arial"/>
          <w:bCs/>
          <w:sz w:val="24"/>
          <w:szCs w:val="24"/>
        </w:rPr>
        <w:t>CIDH, caso Fernández Ortega y otros vs. México, sentencia de 30 de agosto de 2010 y CIDH, caso Rosendo Cantú y otra vs. México, sentencia de 31 de agosto de 2010. Suscitados a partir de hechos diversos, se reconoció que a principios de este siglo, en un contexto de alta presencia militar en el estado de Guerrero para hacer frente a la delincuencia organizada, agentes castrantes en abuso de su autoridad agredieron sexualmente a las citadas víctimas.</w:t>
      </w:r>
    </w:p>
    <w:p w14:paraId="3C58EDEA" w14:textId="77777777" w:rsidR="009E59BB" w:rsidRDefault="009E59BB" w:rsidP="009E59BB">
      <w:pPr>
        <w:spacing w:after="0"/>
        <w:ind w:firstLine="708"/>
        <w:jc w:val="both"/>
        <w:rPr>
          <w:rFonts w:ascii="Arial" w:hAnsi="Arial" w:cs="Arial"/>
          <w:bCs/>
          <w:sz w:val="24"/>
          <w:szCs w:val="24"/>
        </w:rPr>
      </w:pPr>
    </w:p>
    <w:p w14:paraId="3AAC0486" w14:textId="77777777" w:rsidR="009E59BB" w:rsidRDefault="009E59BB" w:rsidP="009E59BB">
      <w:pPr>
        <w:spacing w:after="0"/>
        <w:ind w:firstLine="708"/>
        <w:jc w:val="both"/>
        <w:rPr>
          <w:rFonts w:ascii="Arial" w:hAnsi="Arial" w:cs="Arial"/>
          <w:sz w:val="24"/>
          <w:szCs w:val="24"/>
        </w:rPr>
      </w:pPr>
      <w:r>
        <w:rPr>
          <w:rFonts w:ascii="Arial" w:hAnsi="Arial" w:cs="Arial"/>
          <w:bCs/>
          <w:sz w:val="24"/>
          <w:szCs w:val="24"/>
        </w:rPr>
        <w:t xml:space="preserve">De igual modo existen múltiples recomendaciones emitidas por la Comisión Nacional de Derechos Humanos consultables en: </w:t>
      </w:r>
      <w:hyperlink r:id="rId35" w:history="1">
        <w:r w:rsidRPr="00E723F4">
          <w:rPr>
            <w:rStyle w:val="Hipervnculo"/>
            <w:rFonts w:ascii="Arial" w:hAnsi="Arial" w:cs="Arial"/>
            <w:sz w:val="24"/>
            <w:szCs w:val="24"/>
          </w:rPr>
          <w:t>https://www.cndh.org.mx/tipo/1/recomendacion</w:t>
        </w:r>
      </w:hyperlink>
      <w:r w:rsidRPr="00E723F4">
        <w:rPr>
          <w:rFonts w:ascii="Arial" w:hAnsi="Arial" w:cs="Arial"/>
          <w:sz w:val="24"/>
          <w:szCs w:val="24"/>
        </w:rPr>
        <w:t>, dirigidas  tanto a la Secretaría de la Defensa Nacional</w:t>
      </w:r>
      <w:r>
        <w:rPr>
          <w:rFonts w:ascii="Arial" w:hAnsi="Arial" w:cs="Arial"/>
          <w:sz w:val="24"/>
          <w:szCs w:val="24"/>
        </w:rPr>
        <w:t xml:space="preserve"> (45/2019)</w:t>
      </w:r>
      <w:r w:rsidRPr="00E723F4">
        <w:rPr>
          <w:rFonts w:ascii="Arial" w:hAnsi="Arial" w:cs="Arial"/>
          <w:sz w:val="24"/>
          <w:szCs w:val="24"/>
        </w:rPr>
        <w:t xml:space="preserve"> como a la diversa de Marina</w:t>
      </w:r>
      <w:r>
        <w:rPr>
          <w:rFonts w:ascii="Arial" w:hAnsi="Arial" w:cs="Arial"/>
          <w:sz w:val="24"/>
          <w:szCs w:val="24"/>
        </w:rPr>
        <w:t xml:space="preserve"> (57/2019)</w:t>
      </w:r>
      <w:r w:rsidRPr="00E723F4">
        <w:rPr>
          <w:rFonts w:ascii="Arial" w:hAnsi="Arial" w:cs="Arial"/>
          <w:sz w:val="24"/>
          <w:szCs w:val="24"/>
        </w:rPr>
        <w:t>, en las que se le ha imputado a las Fuerzas Armadas conductas propias de detenciones arbitrarias, uso excesivo y arbitrario de la fuerza, tratos crueles e inhumanos, tortura, agresiones físicas y sexuales, entre otras acciones constitutivas de violaciones de derechos humanos.</w:t>
      </w:r>
      <w:r>
        <w:rPr>
          <w:rFonts w:ascii="Arial" w:hAnsi="Arial" w:cs="Arial"/>
          <w:sz w:val="24"/>
          <w:szCs w:val="24"/>
        </w:rPr>
        <w:t xml:space="preserve"> Entre los cuales destaca la recomendación 51/2014, sobre los hechos ocurridos el treinta de junio de 2014 en Cuadrilla Nueva, Comunidad San Pedro Limón, municipio de </w:t>
      </w:r>
      <w:proofErr w:type="spellStart"/>
      <w:r>
        <w:rPr>
          <w:rFonts w:ascii="Arial" w:hAnsi="Arial" w:cs="Arial"/>
          <w:sz w:val="24"/>
          <w:szCs w:val="24"/>
        </w:rPr>
        <w:t>Tlatlaya</w:t>
      </w:r>
      <w:proofErr w:type="spellEnd"/>
      <w:r>
        <w:rPr>
          <w:rFonts w:ascii="Arial" w:hAnsi="Arial" w:cs="Arial"/>
          <w:sz w:val="24"/>
          <w:szCs w:val="24"/>
        </w:rPr>
        <w:t>, Estado de México, en la cual, la citada comisión llegó a la conclusión de que después de un enfrentamiento armado entre civiles y elementos de la Secretaría de la Defensa Nacional , estos últimos ingresaron a la bodega donde se encontraban los primeros y “</w:t>
      </w:r>
      <w:r w:rsidRPr="00E723F4">
        <w:rPr>
          <w:rFonts w:ascii="Arial" w:hAnsi="Arial" w:cs="Arial"/>
          <w:i/>
          <w:iCs/>
          <w:sz w:val="24"/>
          <w:szCs w:val="24"/>
        </w:rPr>
        <w:t>privaron arbitrariamente de su vida a las personas que se encontraban al interior, rendidas y desarmadas</w:t>
      </w:r>
      <w:r>
        <w:rPr>
          <w:rFonts w:ascii="Arial" w:hAnsi="Arial" w:cs="Arial"/>
          <w:sz w:val="24"/>
          <w:szCs w:val="24"/>
        </w:rPr>
        <w:t>”, “</w:t>
      </w:r>
      <w:r w:rsidRPr="00E723F4">
        <w:rPr>
          <w:rFonts w:ascii="Arial" w:hAnsi="Arial" w:cs="Arial"/>
          <w:i/>
          <w:iCs/>
          <w:sz w:val="24"/>
          <w:szCs w:val="24"/>
        </w:rPr>
        <w:t>en lugar de hacer lo que en derecho les correspondía, esto es, brindar auxilio a las personas heridas y asegurar a las restantes”, “a partir de una acción arbitraria, desproporcional, innecesaria, y desapegada al sistema de derechos humanos</w:t>
      </w:r>
      <w:r>
        <w:rPr>
          <w:rFonts w:ascii="Arial" w:hAnsi="Arial" w:cs="Arial"/>
          <w:sz w:val="24"/>
          <w:szCs w:val="24"/>
        </w:rPr>
        <w:t xml:space="preserve">”. </w:t>
      </w:r>
    </w:p>
    <w:p w14:paraId="74364C56" w14:textId="77777777" w:rsidR="009E59BB" w:rsidRDefault="009E59BB" w:rsidP="009E59BB">
      <w:pPr>
        <w:spacing w:after="0"/>
        <w:ind w:firstLine="708"/>
        <w:jc w:val="both"/>
        <w:rPr>
          <w:rFonts w:ascii="Arial" w:hAnsi="Arial" w:cs="Arial"/>
          <w:sz w:val="24"/>
          <w:szCs w:val="24"/>
        </w:rPr>
      </w:pPr>
    </w:p>
    <w:p w14:paraId="621B8044" w14:textId="77777777" w:rsidR="009E59BB" w:rsidRDefault="009E59BB" w:rsidP="009E59BB">
      <w:pPr>
        <w:spacing w:after="0"/>
        <w:ind w:firstLine="708"/>
        <w:jc w:val="both"/>
        <w:rPr>
          <w:rFonts w:ascii="Arial" w:hAnsi="Arial" w:cs="Arial"/>
          <w:sz w:val="24"/>
          <w:szCs w:val="24"/>
        </w:rPr>
      </w:pPr>
      <w:r>
        <w:rPr>
          <w:rFonts w:ascii="Arial" w:hAnsi="Arial" w:cs="Arial"/>
          <w:sz w:val="24"/>
          <w:szCs w:val="24"/>
        </w:rPr>
        <w:t>CIDH, caso Cabrera García y Montiel Flores vs. México, sentencia de 26 de noviembre de 2010. Tortura y detención ilegal.</w:t>
      </w:r>
    </w:p>
    <w:p w14:paraId="5414A8D0" w14:textId="77777777" w:rsidR="009E59BB" w:rsidRDefault="009E59BB" w:rsidP="009E59BB">
      <w:pPr>
        <w:spacing w:after="0"/>
        <w:ind w:firstLine="708"/>
        <w:jc w:val="both"/>
        <w:rPr>
          <w:rFonts w:ascii="Arial" w:hAnsi="Arial" w:cs="Arial"/>
          <w:sz w:val="24"/>
          <w:szCs w:val="24"/>
        </w:rPr>
      </w:pPr>
    </w:p>
    <w:p w14:paraId="379D13EC" w14:textId="77777777" w:rsidR="009E59BB" w:rsidRDefault="009E59BB" w:rsidP="009E59BB">
      <w:pPr>
        <w:spacing w:after="0"/>
        <w:ind w:firstLine="708"/>
        <w:jc w:val="both"/>
        <w:rPr>
          <w:rFonts w:ascii="Arial" w:hAnsi="Arial" w:cs="Arial"/>
          <w:sz w:val="24"/>
          <w:szCs w:val="24"/>
        </w:rPr>
      </w:pPr>
      <w:r>
        <w:rPr>
          <w:rFonts w:ascii="Arial" w:hAnsi="Arial" w:cs="Arial"/>
          <w:sz w:val="24"/>
          <w:szCs w:val="24"/>
        </w:rPr>
        <w:t>CIDH, caso Alvarado Espinoza y Otros vs. México, sentencia de 28 de noviembre de 2018. Desapariciones forzadas.</w:t>
      </w:r>
    </w:p>
    <w:p w14:paraId="46B04D2F" w14:textId="0D801417" w:rsidR="009E59BB" w:rsidRDefault="009E59BB" w:rsidP="003C39B4">
      <w:pPr>
        <w:pStyle w:val="Sangradetextonormal"/>
        <w:spacing w:line="276" w:lineRule="auto"/>
        <w:rPr>
          <w:rFonts w:ascii="Arial" w:hAnsi="Arial" w:cs="Arial"/>
          <w:b/>
          <w:bCs/>
          <w:sz w:val="24"/>
        </w:rPr>
      </w:pPr>
    </w:p>
    <w:p w14:paraId="047B29AC" w14:textId="01D1202F" w:rsidR="009E59BB" w:rsidRDefault="00B60F3D" w:rsidP="003C39B4">
      <w:pPr>
        <w:pStyle w:val="Sangradetextonormal"/>
        <w:spacing w:line="276" w:lineRule="auto"/>
        <w:rPr>
          <w:rFonts w:ascii="Arial" w:hAnsi="Arial" w:cs="Arial"/>
          <w:bCs/>
          <w:sz w:val="24"/>
        </w:rPr>
      </w:pPr>
      <w:r w:rsidRPr="00B60F3D">
        <w:rPr>
          <w:rFonts w:ascii="Arial" w:hAnsi="Arial" w:cs="Arial"/>
          <w:bCs/>
          <w:sz w:val="24"/>
        </w:rPr>
        <w:t>Añadimos a lo anterior, las condiciones deficientes del Es</w:t>
      </w:r>
      <w:r>
        <w:rPr>
          <w:rFonts w:ascii="Arial" w:hAnsi="Arial" w:cs="Arial"/>
          <w:bCs/>
          <w:sz w:val="24"/>
        </w:rPr>
        <w:t xml:space="preserve">tado Constitucional de Derecho de nuestro país, aludiendo que México se encuentra en los últimos lugares del ranking global del Índice de Estado de Derecho realizado por </w:t>
      </w:r>
      <w:proofErr w:type="spellStart"/>
      <w:r w:rsidRPr="00B60F3D">
        <w:rPr>
          <w:rFonts w:ascii="Arial" w:hAnsi="Arial" w:cs="Arial"/>
          <w:bCs/>
          <w:i/>
          <w:sz w:val="24"/>
        </w:rPr>
        <w:t>World</w:t>
      </w:r>
      <w:proofErr w:type="spellEnd"/>
      <w:r w:rsidRPr="00B60F3D">
        <w:rPr>
          <w:rFonts w:ascii="Arial" w:hAnsi="Arial" w:cs="Arial"/>
          <w:bCs/>
          <w:i/>
          <w:sz w:val="24"/>
        </w:rPr>
        <w:t xml:space="preserve"> </w:t>
      </w:r>
      <w:proofErr w:type="spellStart"/>
      <w:r w:rsidRPr="00B60F3D">
        <w:rPr>
          <w:rFonts w:ascii="Arial" w:hAnsi="Arial" w:cs="Arial"/>
          <w:bCs/>
          <w:i/>
          <w:sz w:val="24"/>
        </w:rPr>
        <w:t>Justice</w:t>
      </w:r>
      <w:proofErr w:type="spellEnd"/>
      <w:r w:rsidRPr="00B60F3D">
        <w:rPr>
          <w:rFonts w:ascii="Arial" w:hAnsi="Arial" w:cs="Arial"/>
          <w:bCs/>
          <w:i/>
          <w:sz w:val="24"/>
        </w:rPr>
        <w:t xml:space="preserve"> Project</w:t>
      </w:r>
      <w:r>
        <w:rPr>
          <w:rFonts w:ascii="Arial" w:hAnsi="Arial" w:cs="Arial"/>
          <w:bCs/>
          <w:sz w:val="24"/>
        </w:rPr>
        <w:t xml:space="preserve">: </w:t>
      </w:r>
    </w:p>
    <w:p w14:paraId="4ECC50EA" w14:textId="0F48F070" w:rsidR="00B60F3D" w:rsidRPr="00B60F3D" w:rsidRDefault="009525CD" w:rsidP="00B60F3D">
      <w:pPr>
        <w:pStyle w:val="Sangradetextonormal"/>
        <w:spacing w:line="276" w:lineRule="auto"/>
        <w:ind w:firstLine="0"/>
        <w:rPr>
          <w:rFonts w:ascii="Arial" w:hAnsi="Arial" w:cs="Arial"/>
          <w:bCs/>
          <w:sz w:val="24"/>
        </w:rPr>
      </w:pPr>
      <w:hyperlink r:id="rId36" w:history="1">
        <w:r w:rsidR="00B60F3D" w:rsidRPr="00B60F3D">
          <w:rPr>
            <w:rStyle w:val="Hipervnculo"/>
            <w:rFonts w:ascii="Arial" w:hAnsi="Arial" w:cs="Arial"/>
            <w:bCs/>
            <w:sz w:val="22"/>
          </w:rPr>
          <w:t>https://worldjusticeproject.org/sites/default/files/documents/WJP-Global-ROLI-Spanish.pdf</w:t>
        </w:r>
      </w:hyperlink>
    </w:p>
    <w:p w14:paraId="71994570" w14:textId="77777777" w:rsidR="00B60F3D" w:rsidRPr="00B60F3D" w:rsidRDefault="00B60F3D" w:rsidP="003C39B4">
      <w:pPr>
        <w:pStyle w:val="Sangradetextonormal"/>
        <w:spacing w:line="276" w:lineRule="auto"/>
        <w:rPr>
          <w:rFonts w:ascii="Arial" w:hAnsi="Arial" w:cs="Arial"/>
          <w:bCs/>
          <w:sz w:val="24"/>
        </w:rPr>
      </w:pPr>
    </w:p>
    <w:p w14:paraId="2D61D007" w14:textId="6EE7E71A" w:rsidR="00C03D8A" w:rsidRDefault="00885258" w:rsidP="00C03D8A">
      <w:pPr>
        <w:pStyle w:val="Sangradetextonormal"/>
        <w:spacing w:line="276" w:lineRule="auto"/>
        <w:rPr>
          <w:rFonts w:ascii="Arial" w:hAnsi="Arial" w:cs="Arial"/>
          <w:sz w:val="24"/>
        </w:rPr>
      </w:pPr>
      <w:r>
        <w:rPr>
          <w:rFonts w:ascii="Arial" w:hAnsi="Arial" w:cs="Arial"/>
          <w:sz w:val="24"/>
        </w:rPr>
        <w:lastRenderedPageBreak/>
        <w:t xml:space="preserve">Y podemos añadir los casos en que integrantes de la Guardia Nacional han cometido violaciones a los derechos humanos irreparables como los siguientes </w:t>
      </w:r>
      <w:r w:rsidR="00C03D8A">
        <w:rPr>
          <w:rFonts w:ascii="Arial" w:hAnsi="Arial" w:cs="Arial"/>
          <w:sz w:val="24"/>
        </w:rPr>
        <w:t>como lo son las privaciones de la vida de</w:t>
      </w:r>
      <w:r w:rsidR="005F5411">
        <w:rPr>
          <w:rFonts w:ascii="Arial" w:hAnsi="Arial" w:cs="Arial"/>
          <w:sz w:val="24"/>
        </w:rPr>
        <w:t xml:space="preserve"> Jessica Silva</w:t>
      </w:r>
      <w:r w:rsidR="00C03D8A">
        <w:rPr>
          <w:rStyle w:val="Refdenotaalpie"/>
          <w:rFonts w:ascii="Arial" w:hAnsi="Arial" w:cs="Arial"/>
          <w:sz w:val="24"/>
        </w:rPr>
        <w:footnoteReference w:id="11"/>
      </w:r>
      <w:r w:rsidR="005F5411">
        <w:rPr>
          <w:rFonts w:ascii="Arial" w:hAnsi="Arial" w:cs="Arial"/>
          <w:sz w:val="24"/>
        </w:rPr>
        <w:t>, de Ángel</w:t>
      </w:r>
      <w:r w:rsidR="00C03D8A">
        <w:rPr>
          <w:rStyle w:val="Refdenotaalpie"/>
          <w:rFonts w:ascii="Arial" w:hAnsi="Arial" w:cs="Arial"/>
          <w:sz w:val="24"/>
        </w:rPr>
        <w:footnoteReference w:id="12"/>
      </w:r>
      <w:r w:rsidR="005F5411">
        <w:rPr>
          <w:rFonts w:ascii="Arial" w:hAnsi="Arial" w:cs="Arial"/>
          <w:sz w:val="24"/>
        </w:rPr>
        <w:t xml:space="preserve"> y de Migrantes</w:t>
      </w:r>
      <w:r w:rsidR="005F5411">
        <w:rPr>
          <w:rStyle w:val="Refdenotaalpie"/>
          <w:rFonts w:ascii="Arial" w:hAnsi="Arial" w:cs="Arial"/>
          <w:sz w:val="24"/>
        </w:rPr>
        <w:footnoteReference w:id="13"/>
      </w:r>
      <w:r>
        <w:rPr>
          <w:rFonts w:ascii="Arial" w:hAnsi="Arial" w:cs="Arial"/>
          <w:sz w:val="24"/>
        </w:rPr>
        <w:t>:</w:t>
      </w:r>
    </w:p>
    <w:p w14:paraId="405C9864" w14:textId="77777777" w:rsidR="00C03D8A" w:rsidRDefault="00C03D8A" w:rsidP="00C03D8A">
      <w:pPr>
        <w:pStyle w:val="Sangradetextonormal"/>
        <w:spacing w:line="276" w:lineRule="auto"/>
        <w:rPr>
          <w:rFonts w:ascii="Arial" w:hAnsi="Arial" w:cs="Arial"/>
          <w:sz w:val="24"/>
        </w:rPr>
      </w:pPr>
    </w:p>
    <w:p w14:paraId="1216E687" w14:textId="165427A7" w:rsidR="00C03D8A" w:rsidRDefault="00A05E6A" w:rsidP="00E026A6">
      <w:pPr>
        <w:pStyle w:val="Sangradetextonormal"/>
        <w:numPr>
          <w:ilvl w:val="0"/>
          <w:numId w:val="45"/>
        </w:numPr>
        <w:spacing w:line="276" w:lineRule="auto"/>
        <w:ind w:left="1068"/>
        <w:rPr>
          <w:rFonts w:ascii="Arial" w:hAnsi="Arial" w:cs="Arial"/>
          <w:bCs/>
          <w:sz w:val="24"/>
        </w:rPr>
      </w:pPr>
      <w:r w:rsidRPr="00C03D8A">
        <w:rPr>
          <w:rFonts w:ascii="Arial" w:hAnsi="Arial" w:cs="Arial"/>
          <w:b/>
          <w:sz w:val="24"/>
        </w:rPr>
        <w:t xml:space="preserve">Caso de </w:t>
      </w:r>
      <w:r w:rsidR="005F5411" w:rsidRPr="00C03D8A">
        <w:rPr>
          <w:rFonts w:ascii="Arial" w:hAnsi="Arial" w:cs="Arial"/>
          <w:b/>
          <w:sz w:val="24"/>
        </w:rPr>
        <w:t>Jessica Silva</w:t>
      </w:r>
      <w:r>
        <w:rPr>
          <w:rFonts w:ascii="Arial" w:hAnsi="Arial" w:cs="Arial"/>
          <w:sz w:val="24"/>
        </w:rPr>
        <w:t xml:space="preserve">: </w:t>
      </w:r>
      <w:r w:rsidR="00C03D8A">
        <w:rPr>
          <w:rFonts w:ascii="Arial" w:hAnsi="Arial" w:cs="Arial"/>
          <w:bCs/>
          <w:sz w:val="24"/>
        </w:rPr>
        <w:t>El 8 de septiembre de 2020</w:t>
      </w:r>
      <w:r w:rsidR="00C03D8A" w:rsidRPr="00C03D8A">
        <w:rPr>
          <w:rFonts w:ascii="Arial" w:hAnsi="Arial" w:cs="Arial"/>
          <w:bCs/>
          <w:sz w:val="24"/>
        </w:rPr>
        <w:t xml:space="preserve"> </w:t>
      </w:r>
      <w:proofErr w:type="spellStart"/>
      <w:r w:rsidR="00C03D8A" w:rsidRPr="00C03D8A">
        <w:rPr>
          <w:rFonts w:ascii="Arial" w:hAnsi="Arial" w:cs="Arial"/>
          <w:bCs/>
          <w:sz w:val="24"/>
        </w:rPr>
        <w:t>Jéssica</w:t>
      </w:r>
      <w:proofErr w:type="spellEnd"/>
      <w:r w:rsidR="00C03D8A" w:rsidRPr="00C03D8A">
        <w:rPr>
          <w:rFonts w:ascii="Arial" w:hAnsi="Arial" w:cs="Arial"/>
          <w:bCs/>
          <w:sz w:val="24"/>
        </w:rPr>
        <w:t xml:space="preserve"> Silva y su marido fueron baleados por elementos de la Guardia Nacional después de participar en una protesta por la "defensa" del agua en la Boquilla</w:t>
      </w:r>
      <w:r w:rsidR="00C03D8A">
        <w:rPr>
          <w:rFonts w:ascii="Arial" w:hAnsi="Arial" w:cs="Arial"/>
          <w:bCs/>
          <w:sz w:val="24"/>
        </w:rPr>
        <w:t xml:space="preserve">, por lo que </w:t>
      </w:r>
      <w:proofErr w:type="spellStart"/>
      <w:r w:rsidR="00C03D8A">
        <w:rPr>
          <w:rFonts w:ascii="Arial" w:hAnsi="Arial" w:cs="Arial"/>
          <w:bCs/>
          <w:sz w:val="24"/>
        </w:rPr>
        <w:t>Jéssica</w:t>
      </w:r>
      <w:proofErr w:type="spellEnd"/>
      <w:r w:rsidR="00C03D8A">
        <w:rPr>
          <w:rFonts w:ascii="Arial" w:hAnsi="Arial" w:cs="Arial"/>
          <w:bCs/>
          <w:sz w:val="24"/>
        </w:rPr>
        <w:t xml:space="preserve"> murió inmediatamente por esos </w:t>
      </w:r>
      <w:proofErr w:type="gramStart"/>
      <w:r w:rsidR="00C03D8A">
        <w:rPr>
          <w:rFonts w:ascii="Arial" w:hAnsi="Arial" w:cs="Arial"/>
          <w:bCs/>
          <w:sz w:val="24"/>
        </w:rPr>
        <w:t>abusivos</w:t>
      </w:r>
      <w:r w:rsidR="00E026A6">
        <w:rPr>
          <w:rFonts w:ascii="Arial" w:hAnsi="Arial" w:cs="Arial"/>
          <w:bCs/>
          <w:sz w:val="24"/>
        </w:rPr>
        <w:t xml:space="preserve">  e</w:t>
      </w:r>
      <w:proofErr w:type="gramEnd"/>
      <w:r w:rsidR="00E026A6">
        <w:rPr>
          <w:rFonts w:ascii="Arial" w:hAnsi="Arial" w:cs="Arial"/>
          <w:bCs/>
          <w:sz w:val="24"/>
        </w:rPr>
        <w:t xml:space="preserve"> injustos. </w:t>
      </w:r>
    </w:p>
    <w:p w14:paraId="3B4F0B10" w14:textId="77777777" w:rsidR="00C03D8A" w:rsidRPr="00C03D8A" w:rsidRDefault="00C03D8A" w:rsidP="00E026A6">
      <w:pPr>
        <w:pStyle w:val="Sangradetextonormal"/>
        <w:spacing w:line="276" w:lineRule="auto"/>
        <w:rPr>
          <w:rFonts w:ascii="Arial" w:hAnsi="Arial" w:cs="Arial"/>
          <w:sz w:val="24"/>
        </w:rPr>
      </w:pPr>
    </w:p>
    <w:p w14:paraId="683599F6" w14:textId="218F27EB" w:rsidR="00A05E6A" w:rsidRPr="00E026A6" w:rsidRDefault="00A05E6A" w:rsidP="00E026A6">
      <w:pPr>
        <w:pStyle w:val="Prrafodelista"/>
        <w:numPr>
          <w:ilvl w:val="0"/>
          <w:numId w:val="45"/>
        </w:numPr>
        <w:ind w:left="1068"/>
        <w:jc w:val="both"/>
        <w:rPr>
          <w:rFonts w:ascii="Arial" w:hAnsi="Arial" w:cs="Arial"/>
          <w:sz w:val="24"/>
          <w:szCs w:val="24"/>
        </w:rPr>
      </w:pPr>
      <w:r w:rsidRPr="00E026A6">
        <w:rPr>
          <w:rFonts w:ascii="Arial" w:hAnsi="Arial" w:cs="Arial"/>
          <w:b/>
          <w:sz w:val="24"/>
          <w:szCs w:val="24"/>
        </w:rPr>
        <w:t>Caso de Ángel</w:t>
      </w:r>
      <w:r w:rsidRPr="00E026A6">
        <w:rPr>
          <w:rFonts w:ascii="Arial" w:hAnsi="Arial" w:cs="Arial"/>
          <w:sz w:val="24"/>
          <w:szCs w:val="24"/>
        </w:rPr>
        <w:t xml:space="preserve">: </w:t>
      </w:r>
      <w:r w:rsidR="00C03D8A" w:rsidRPr="00E026A6">
        <w:rPr>
          <w:rFonts w:ascii="Arial" w:hAnsi="Arial" w:cs="Arial"/>
          <w:sz w:val="24"/>
          <w:szCs w:val="24"/>
        </w:rPr>
        <w:t>Otro hecho</w:t>
      </w:r>
      <w:r w:rsidRPr="00E026A6">
        <w:rPr>
          <w:rFonts w:ascii="Arial" w:hAnsi="Arial" w:cs="Arial"/>
          <w:sz w:val="24"/>
          <w:szCs w:val="24"/>
        </w:rPr>
        <w:t xml:space="preserve"> notorio de alto impacto en la sociedad Mexicana,  es en el que perdió la vida  ANGEL de  19 años, estudiante en la facultad de Ingeniería  agrónoma, en  la Universidad de Guanajuato, campus copal, en el municipio de Irapuato, Guanajuato; al no detenerse, al marcarle el alto elementos de la Guardia Nacional, y sobre la cual se dijo  en el momento de su creación que tendría un carácter civil,  y se limitó sus funciones en las cuales no destacan la de tránsito y policía vial. </w:t>
      </w:r>
      <w:proofErr w:type="gramStart"/>
      <w:r w:rsidRPr="00E026A6">
        <w:rPr>
          <w:rFonts w:ascii="Arial" w:hAnsi="Arial" w:cs="Arial"/>
          <w:sz w:val="24"/>
          <w:szCs w:val="24"/>
        </w:rPr>
        <w:t>Ángel  regresaba</w:t>
      </w:r>
      <w:proofErr w:type="gramEnd"/>
      <w:r w:rsidRPr="00E026A6">
        <w:rPr>
          <w:rFonts w:ascii="Arial" w:hAnsi="Arial" w:cs="Arial"/>
          <w:sz w:val="24"/>
          <w:szCs w:val="24"/>
        </w:rPr>
        <w:t xml:space="preserve"> de un convivio universitario en un vehículo color blanco, al marcarle el alto  elementos de la guardia nacional, ANGEL no se detuvo, como medida de seguridad, ante la ola d</w:t>
      </w:r>
      <w:r w:rsidR="00644BE9">
        <w:rPr>
          <w:rFonts w:ascii="Arial" w:hAnsi="Arial" w:cs="Arial"/>
          <w:sz w:val="24"/>
          <w:szCs w:val="24"/>
        </w:rPr>
        <w:t>e inseguridad que azota al país</w:t>
      </w:r>
      <w:r w:rsidRPr="00E026A6">
        <w:rPr>
          <w:rFonts w:ascii="Arial" w:hAnsi="Arial" w:cs="Arial"/>
          <w:sz w:val="24"/>
          <w:szCs w:val="24"/>
        </w:rPr>
        <w:t xml:space="preserve">; acto seguido se generó una ráfaga de disparo, esto ocurrió a menos de 50 metros del campus, y una bala entro en el  cráneo  de Ángel quitándole la vida; y otra más dejo mal herida a su amiga acompañante. </w:t>
      </w:r>
    </w:p>
    <w:p w14:paraId="7A1A1EB7" w14:textId="6A00829C" w:rsidR="00E026A6" w:rsidRPr="00E026A6" w:rsidRDefault="00E026A6" w:rsidP="00E026A6">
      <w:pPr>
        <w:pStyle w:val="Prrafodelista"/>
        <w:numPr>
          <w:ilvl w:val="0"/>
          <w:numId w:val="45"/>
        </w:numPr>
        <w:ind w:left="1068"/>
        <w:jc w:val="both"/>
        <w:rPr>
          <w:rFonts w:ascii="Arial" w:hAnsi="Arial" w:cs="Arial"/>
          <w:sz w:val="24"/>
          <w:szCs w:val="24"/>
        </w:rPr>
      </w:pPr>
      <w:r w:rsidRPr="00E026A6">
        <w:rPr>
          <w:rFonts w:ascii="Arial" w:hAnsi="Arial" w:cs="Arial"/>
          <w:b/>
          <w:sz w:val="24"/>
          <w:szCs w:val="24"/>
        </w:rPr>
        <w:t>Caso migrantes</w:t>
      </w:r>
      <w:r w:rsidRPr="00E026A6">
        <w:rPr>
          <w:rFonts w:ascii="Arial" w:hAnsi="Arial" w:cs="Arial"/>
          <w:sz w:val="24"/>
          <w:szCs w:val="24"/>
        </w:rPr>
        <w:t xml:space="preserve">: En octubre de 2021, la Guardia Nacional abrió fuego contra una camioneta de migrantes y mató a uno de ellos. </w:t>
      </w:r>
    </w:p>
    <w:p w14:paraId="6A130B02" w14:textId="374E5FDE" w:rsidR="00A05E6A" w:rsidRPr="00A05E6A" w:rsidRDefault="00A05E6A" w:rsidP="00A05E6A">
      <w:pPr>
        <w:ind w:firstLine="708"/>
        <w:jc w:val="both"/>
        <w:rPr>
          <w:rFonts w:ascii="Arial" w:hAnsi="Arial" w:cs="Arial"/>
          <w:sz w:val="24"/>
          <w:szCs w:val="24"/>
        </w:rPr>
      </w:pPr>
      <w:r w:rsidRPr="00A05E6A">
        <w:rPr>
          <w:rFonts w:ascii="Arial" w:hAnsi="Arial" w:cs="Arial"/>
          <w:sz w:val="24"/>
          <w:szCs w:val="24"/>
        </w:rPr>
        <w:t xml:space="preserve">La tarea de seguridad pública, tránsito </w:t>
      </w:r>
      <w:r w:rsidR="00760A76">
        <w:rPr>
          <w:rFonts w:ascii="Arial" w:hAnsi="Arial" w:cs="Arial"/>
          <w:sz w:val="24"/>
          <w:szCs w:val="24"/>
        </w:rPr>
        <w:t>y</w:t>
      </w:r>
      <w:r w:rsidR="00C03D8A" w:rsidRPr="00A05E6A">
        <w:rPr>
          <w:rFonts w:ascii="Arial" w:hAnsi="Arial" w:cs="Arial"/>
          <w:sz w:val="24"/>
          <w:szCs w:val="24"/>
        </w:rPr>
        <w:t xml:space="preserve"> policía</w:t>
      </w:r>
      <w:r w:rsidRPr="00A05E6A">
        <w:rPr>
          <w:rFonts w:ascii="Arial" w:hAnsi="Arial" w:cs="Arial"/>
          <w:sz w:val="24"/>
          <w:szCs w:val="24"/>
        </w:rPr>
        <w:t xml:space="preserve"> vial, entre otras;   son estrictamente de índole civil</w:t>
      </w:r>
      <w:r w:rsidR="00C03D8A" w:rsidRPr="00A05E6A">
        <w:rPr>
          <w:rFonts w:ascii="Arial" w:hAnsi="Arial" w:cs="Arial"/>
          <w:sz w:val="24"/>
          <w:szCs w:val="24"/>
        </w:rPr>
        <w:t>, tareas</w:t>
      </w:r>
      <w:r w:rsidRPr="00A05E6A">
        <w:rPr>
          <w:rFonts w:ascii="Arial" w:hAnsi="Arial" w:cs="Arial"/>
          <w:sz w:val="24"/>
          <w:szCs w:val="24"/>
        </w:rPr>
        <w:t xml:space="preserve"> que desde la ilegalidad, vienen </w:t>
      </w:r>
      <w:r w:rsidR="00CF3902" w:rsidRPr="00A05E6A">
        <w:rPr>
          <w:rFonts w:ascii="Arial" w:hAnsi="Arial" w:cs="Arial"/>
          <w:sz w:val="24"/>
          <w:szCs w:val="24"/>
        </w:rPr>
        <w:t xml:space="preserve">realizando </w:t>
      </w:r>
      <w:proofErr w:type="gramStart"/>
      <w:r w:rsidR="00CF3902" w:rsidRPr="00A05E6A">
        <w:rPr>
          <w:rFonts w:ascii="Arial" w:hAnsi="Arial" w:cs="Arial"/>
          <w:sz w:val="24"/>
          <w:szCs w:val="24"/>
        </w:rPr>
        <w:t>la</w:t>
      </w:r>
      <w:r w:rsidRPr="00A05E6A">
        <w:rPr>
          <w:rFonts w:ascii="Arial" w:hAnsi="Arial" w:cs="Arial"/>
          <w:sz w:val="24"/>
          <w:szCs w:val="24"/>
        </w:rPr>
        <w:t xml:space="preserve">  guardia</w:t>
      </w:r>
      <w:proofErr w:type="gramEnd"/>
      <w:r w:rsidRPr="00A05E6A">
        <w:rPr>
          <w:rFonts w:ascii="Arial" w:hAnsi="Arial" w:cs="Arial"/>
          <w:sz w:val="24"/>
          <w:szCs w:val="24"/>
        </w:rPr>
        <w:t xml:space="preserve"> nacional,  y contravienen los estándares internacionales de derechos humanos. El estado solo </w:t>
      </w:r>
      <w:r w:rsidR="00C03D8A" w:rsidRPr="00A05E6A">
        <w:rPr>
          <w:rFonts w:ascii="Arial" w:hAnsi="Arial" w:cs="Arial"/>
          <w:sz w:val="24"/>
          <w:szCs w:val="24"/>
        </w:rPr>
        <w:t>puede recurrir</w:t>
      </w:r>
      <w:r w:rsidRPr="00A05E6A">
        <w:rPr>
          <w:rFonts w:ascii="Arial" w:hAnsi="Arial" w:cs="Arial"/>
          <w:sz w:val="24"/>
          <w:szCs w:val="24"/>
        </w:rPr>
        <w:t xml:space="preserve"> a fuerzas militares como es el cuerpo de Guardia Nacional en casos excepcionales por tiempo definido, atendiendo a los estándares internaciones de derechos humanos. Los derechos humanos de </w:t>
      </w:r>
      <w:r w:rsidR="00E026A6">
        <w:rPr>
          <w:rFonts w:ascii="Arial" w:hAnsi="Arial" w:cs="Arial"/>
          <w:sz w:val="24"/>
          <w:szCs w:val="24"/>
        </w:rPr>
        <w:t xml:space="preserve">JESSICA, </w:t>
      </w:r>
      <w:r w:rsidRPr="00A05E6A">
        <w:rPr>
          <w:rFonts w:ascii="Arial" w:hAnsi="Arial" w:cs="Arial"/>
          <w:sz w:val="24"/>
          <w:szCs w:val="24"/>
        </w:rPr>
        <w:t xml:space="preserve">ANGEL y de todas las personas deben ser respetados, protegidos y garantizados por el estado. Todos somos </w:t>
      </w:r>
      <w:r w:rsidR="00E026A6">
        <w:rPr>
          <w:rFonts w:ascii="Arial" w:hAnsi="Arial" w:cs="Arial"/>
          <w:sz w:val="24"/>
          <w:szCs w:val="24"/>
        </w:rPr>
        <w:t>J</w:t>
      </w:r>
      <w:r w:rsidR="00CF3902">
        <w:rPr>
          <w:rFonts w:ascii="Arial" w:hAnsi="Arial" w:cs="Arial"/>
          <w:sz w:val="24"/>
          <w:szCs w:val="24"/>
        </w:rPr>
        <w:t>essica</w:t>
      </w:r>
      <w:r w:rsidR="00E026A6">
        <w:rPr>
          <w:rFonts w:ascii="Arial" w:hAnsi="Arial" w:cs="Arial"/>
          <w:sz w:val="24"/>
          <w:szCs w:val="24"/>
        </w:rPr>
        <w:t xml:space="preserve">, </w:t>
      </w:r>
      <w:r w:rsidRPr="00A05E6A">
        <w:rPr>
          <w:rFonts w:ascii="Arial" w:hAnsi="Arial" w:cs="Arial"/>
          <w:sz w:val="24"/>
          <w:szCs w:val="24"/>
        </w:rPr>
        <w:t xml:space="preserve">Ángel sujetos a una reacción de una autoridad militar vagando </w:t>
      </w:r>
      <w:r w:rsidR="00E026A6" w:rsidRPr="00A05E6A">
        <w:rPr>
          <w:rFonts w:ascii="Arial" w:hAnsi="Arial" w:cs="Arial"/>
          <w:sz w:val="24"/>
          <w:szCs w:val="24"/>
        </w:rPr>
        <w:t>en un</w:t>
      </w:r>
      <w:r w:rsidRPr="00A05E6A">
        <w:rPr>
          <w:rFonts w:ascii="Arial" w:hAnsi="Arial" w:cs="Arial"/>
          <w:sz w:val="24"/>
          <w:szCs w:val="24"/>
        </w:rPr>
        <w:t xml:space="preserve"> mundo de civiles. </w:t>
      </w:r>
    </w:p>
    <w:p w14:paraId="1CB992DD" w14:textId="71B29C94" w:rsidR="001B611D" w:rsidRDefault="00B60F3D" w:rsidP="00760A76">
      <w:pPr>
        <w:pStyle w:val="Sangradetextonormal"/>
        <w:spacing w:line="276" w:lineRule="auto"/>
        <w:rPr>
          <w:rFonts w:ascii="Arial" w:hAnsi="Arial" w:cs="Arial"/>
          <w:sz w:val="24"/>
        </w:rPr>
      </w:pPr>
      <w:r>
        <w:rPr>
          <w:rFonts w:ascii="Arial" w:hAnsi="Arial" w:cs="Arial"/>
          <w:sz w:val="24"/>
        </w:rPr>
        <w:t>Las normas reclamadas</w:t>
      </w:r>
      <w:r w:rsidR="001B611D" w:rsidRPr="001B611D">
        <w:rPr>
          <w:rFonts w:ascii="Arial" w:hAnsi="Arial" w:cs="Arial"/>
          <w:sz w:val="24"/>
        </w:rPr>
        <w:t xml:space="preserve"> faculta a las Fuerzas Armadas</w:t>
      </w:r>
      <w:r>
        <w:rPr>
          <w:rFonts w:ascii="Arial" w:hAnsi="Arial" w:cs="Arial"/>
          <w:sz w:val="24"/>
        </w:rPr>
        <w:t xml:space="preserve"> y a la Guardia Nacional incorporada al fuero militar (SEDENA),</w:t>
      </w:r>
      <w:r w:rsidR="00E026A6">
        <w:rPr>
          <w:rFonts w:ascii="Arial" w:hAnsi="Arial" w:cs="Arial"/>
          <w:sz w:val="24"/>
        </w:rPr>
        <w:t xml:space="preserve"> a afectan</w:t>
      </w:r>
      <w:r w:rsidR="001B611D" w:rsidRPr="001B611D">
        <w:rPr>
          <w:rFonts w:ascii="Arial" w:hAnsi="Arial" w:cs="Arial"/>
          <w:sz w:val="24"/>
        </w:rPr>
        <w:t xml:space="preserve"> la esfera jurídica de las personas en tiempos de paz (actos de privación y de molestia) que, por sus características, resultan de </w:t>
      </w:r>
      <w:proofErr w:type="spellStart"/>
      <w:r w:rsidR="001B611D" w:rsidRPr="001B611D">
        <w:rPr>
          <w:rFonts w:ascii="Arial" w:hAnsi="Arial" w:cs="Arial"/>
          <w:sz w:val="24"/>
        </w:rPr>
        <w:t>consumabilidad</w:t>
      </w:r>
      <w:proofErr w:type="spellEnd"/>
      <w:r w:rsidR="001B611D" w:rsidRPr="001B611D">
        <w:rPr>
          <w:rFonts w:ascii="Arial" w:hAnsi="Arial" w:cs="Arial"/>
          <w:sz w:val="24"/>
        </w:rPr>
        <w:t xml:space="preserve"> instantánea e </w:t>
      </w:r>
      <w:proofErr w:type="spellStart"/>
      <w:r w:rsidR="001B611D" w:rsidRPr="001B611D">
        <w:rPr>
          <w:rFonts w:ascii="Arial" w:hAnsi="Arial" w:cs="Arial"/>
          <w:sz w:val="24"/>
        </w:rPr>
        <w:t>irreparabilidad</w:t>
      </w:r>
      <w:proofErr w:type="spellEnd"/>
      <w:r w:rsidR="001B611D" w:rsidRPr="001B611D">
        <w:rPr>
          <w:rFonts w:ascii="Arial" w:hAnsi="Arial" w:cs="Arial"/>
          <w:sz w:val="24"/>
        </w:rPr>
        <w:t xml:space="preserve"> inmediata; de modo qu</w:t>
      </w:r>
      <w:r w:rsidR="001B611D">
        <w:rPr>
          <w:rFonts w:ascii="Arial" w:hAnsi="Arial" w:cs="Arial"/>
          <w:sz w:val="24"/>
        </w:rPr>
        <w:t>e</w:t>
      </w:r>
      <w:r w:rsidR="001B611D" w:rsidRPr="001B611D">
        <w:rPr>
          <w:rFonts w:ascii="Arial" w:hAnsi="Arial" w:cs="Arial"/>
          <w:sz w:val="24"/>
        </w:rPr>
        <w:t xml:space="preserve"> ese actualiza el interés jurídico y legítimo de la quejosa para reclamar</w:t>
      </w:r>
      <w:r w:rsidR="00A54D36">
        <w:rPr>
          <w:rFonts w:ascii="Arial" w:hAnsi="Arial" w:cs="Arial"/>
          <w:sz w:val="24"/>
        </w:rPr>
        <w:t xml:space="preserve"> </w:t>
      </w:r>
      <w:r w:rsidR="001B611D" w:rsidRPr="001B611D">
        <w:rPr>
          <w:rFonts w:ascii="Arial" w:hAnsi="Arial" w:cs="Arial"/>
          <w:sz w:val="24"/>
        </w:rPr>
        <w:t xml:space="preserve">desde su entrada en vigor dicha </w:t>
      </w:r>
      <w:r w:rsidR="00A54D36">
        <w:rPr>
          <w:rFonts w:ascii="Arial" w:hAnsi="Arial" w:cs="Arial"/>
          <w:sz w:val="24"/>
        </w:rPr>
        <w:t>norma general</w:t>
      </w:r>
      <w:r w:rsidR="001B611D" w:rsidRPr="001B611D">
        <w:rPr>
          <w:rFonts w:ascii="Arial" w:hAnsi="Arial" w:cs="Arial"/>
          <w:sz w:val="24"/>
        </w:rPr>
        <w:t xml:space="preserve"> a fin de prevenir en forma oportuna la potencial o eventual violación irreparable de sus derechos humanos. </w:t>
      </w:r>
    </w:p>
    <w:p w14:paraId="6AFC1D0B" w14:textId="5D3343EA" w:rsidR="00B364BA" w:rsidRDefault="00B364BA" w:rsidP="003C39B4">
      <w:pPr>
        <w:pStyle w:val="Sangradetextonormal"/>
        <w:spacing w:line="276" w:lineRule="auto"/>
        <w:rPr>
          <w:rFonts w:ascii="Arial" w:hAnsi="Arial" w:cs="Arial"/>
          <w:sz w:val="24"/>
        </w:rPr>
      </w:pPr>
    </w:p>
    <w:p w14:paraId="7AAE5F14" w14:textId="55763BE3" w:rsidR="002F5D0D" w:rsidRPr="002F5D0D" w:rsidRDefault="001B611D" w:rsidP="00506F70">
      <w:pPr>
        <w:pStyle w:val="Sangradetextonormal"/>
        <w:spacing w:line="276" w:lineRule="auto"/>
        <w:rPr>
          <w:rFonts w:ascii="Arial" w:hAnsi="Arial" w:cs="Arial"/>
          <w:sz w:val="22"/>
          <w:szCs w:val="22"/>
        </w:rPr>
      </w:pPr>
      <w:r>
        <w:rPr>
          <w:rFonts w:ascii="Arial" w:hAnsi="Arial" w:cs="Arial"/>
          <w:sz w:val="24"/>
        </w:rPr>
        <w:t>Siendo innecesario para ello que el justiciable demuestre que se encuentra en cada uno de los supuestos del sistema para impugnar su articulado desde su entrada en vigor, de modo que para la impugnación de la legislación no debe esperar el impacto de autoridad privativo o de molestia que pueda dictarse en su perjuicio. Sirve de apoyo a lo anterior la siguiente tesis:</w:t>
      </w:r>
      <w:r w:rsidR="001200C9">
        <w:rPr>
          <w:rFonts w:ascii="Arial" w:hAnsi="Arial" w:cs="Arial"/>
          <w:sz w:val="24"/>
        </w:rPr>
        <w:t xml:space="preserve"> </w:t>
      </w:r>
      <w:r w:rsidR="002F5D0D" w:rsidRPr="001200C9">
        <w:rPr>
          <w:rFonts w:ascii="Arial" w:hAnsi="Arial" w:cs="Arial"/>
          <w:sz w:val="20"/>
          <w:szCs w:val="20"/>
        </w:rPr>
        <w:t>“</w:t>
      </w:r>
      <w:r w:rsidR="002F5D0D" w:rsidRPr="001200C9">
        <w:rPr>
          <w:rFonts w:ascii="Arial" w:hAnsi="Arial" w:cs="Arial"/>
          <w:b/>
          <w:bCs/>
          <w:i/>
          <w:iCs/>
          <w:sz w:val="20"/>
          <w:szCs w:val="20"/>
        </w:rPr>
        <w:t xml:space="preserve">PROTECCIÓN A LA SALUD DE LOS NO FUMADORES EN EL DISTRITO FEDERAL. LA LEY RESPECTIVA Y SU REGLAMENTO CONTIENEN UN SISTEMA NORMATIVO DESTINADO A REGULAR EL CONSUMO DE PRODUCTOS DERIVADOS DEL TABACO </w:t>
      </w:r>
      <w:r w:rsidR="002F5D0D" w:rsidRPr="001200C9">
        <w:rPr>
          <w:rFonts w:ascii="Arial" w:hAnsi="Arial" w:cs="Arial"/>
          <w:b/>
          <w:bCs/>
          <w:i/>
          <w:iCs/>
          <w:sz w:val="20"/>
          <w:szCs w:val="20"/>
        </w:rPr>
        <w:lastRenderedPageBreak/>
        <w:t>EN LOS ESTABLECIMIENTOS MERCANTILES, IMPUGNABLE EN AMPARO DESDE SU ENTRADA EN VIGOR</w:t>
      </w:r>
      <w:r w:rsidR="002F5D0D" w:rsidRPr="001200C9">
        <w:rPr>
          <w:rFonts w:ascii="Arial" w:hAnsi="Arial" w:cs="Arial"/>
          <w:sz w:val="20"/>
          <w:szCs w:val="20"/>
        </w:rPr>
        <w:t>”</w:t>
      </w:r>
      <w:r w:rsidR="002F5D0D" w:rsidRPr="001200C9">
        <w:rPr>
          <w:rStyle w:val="Refdenotaalpie"/>
          <w:rFonts w:ascii="Arial" w:hAnsi="Arial" w:cs="Arial"/>
          <w:sz w:val="20"/>
          <w:szCs w:val="20"/>
        </w:rPr>
        <w:footnoteReference w:id="14"/>
      </w:r>
    </w:p>
    <w:p w14:paraId="0E8279C8" w14:textId="3E1D6515" w:rsidR="002F5D0D" w:rsidRPr="002F5D0D" w:rsidRDefault="002F5D0D" w:rsidP="002F5D0D">
      <w:pPr>
        <w:pStyle w:val="Sangradetextonormal"/>
        <w:rPr>
          <w:rFonts w:ascii="Arial" w:hAnsi="Arial" w:cs="Arial"/>
          <w:sz w:val="24"/>
        </w:rPr>
      </w:pPr>
    </w:p>
    <w:p w14:paraId="7412CE03" w14:textId="62FB4736" w:rsidR="00A54D36" w:rsidRDefault="002F5D0D" w:rsidP="003C39B4">
      <w:pPr>
        <w:pStyle w:val="Sangradetextonormal"/>
        <w:spacing w:line="276" w:lineRule="auto"/>
        <w:rPr>
          <w:rFonts w:ascii="Arial" w:hAnsi="Arial" w:cs="Arial"/>
          <w:sz w:val="24"/>
        </w:rPr>
      </w:pPr>
      <w:r w:rsidRPr="002F5D0D">
        <w:rPr>
          <w:rFonts w:ascii="Arial" w:hAnsi="Arial" w:cs="Arial"/>
          <w:sz w:val="24"/>
        </w:rPr>
        <w:t>Bajo esa óptica, resulta una obviedad que no es el caso de solicitar a la parte de amparo para acreditar un interés</w:t>
      </w:r>
      <w:r>
        <w:rPr>
          <w:rFonts w:ascii="Arial" w:hAnsi="Arial" w:cs="Arial"/>
          <w:sz w:val="24"/>
        </w:rPr>
        <w:t xml:space="preserve"> jurídico y/o legítimo que compruebe que ya se </w:t>
      </w:r>
      <w:r w:rsidR="00A54D36">
        <w:rPr>
          <w:rFonts w:ascii="Arial" w:hAnsi="Arial" w:cs="Arial"/>
          <w:sz w:val="24"/>
        </w:rPr>
        <w:t>llevó</w:t>
      </w:r>
      <w:r>
        <w:rPr>
          <w:rFonts w:ascii="Arial" w:hAnsi="Arial" w:cs="Arial"/>
          <w:sz w:val="24"/>
        </w:rPr>
        <w:t xml:space="preserve"> a cabo un acto materia de aplicación de la legislación que se impugna (fuego cruzado, recopilación de información, vigilancia, entrada a su domicilio, detención, revisión aleatoria, retenes), </w:t>
      </w:r>
      <w:r w:rsidRPr="004B5B9A">
        <w:rPr>
          <w:rFonts w:ascii="Arial" w:hAnsi="Arial" w:cs="Arial"/>
          <w:b/>
          <w:bCs/>
          <w:sz w:val="24"/>
          <w:u w:val="single"/>
        </w:rPr>
        <w:t xml:space="preserve">puesto que ello implicaría exigir al suscrito </w:t>
      </w:r>
      <w:proofErr w:type="spellStart"/>
      <w:r w:rsidRPr="004B5B9A">
        <w:rPr>
          <w:rFonts w:ascii="Arial" w:hAnsi="Arial" w:cs="Arial"/>
          <w:b/>
          <w:bCs/>
          <w:sz w:val="24"/>
          <w:u w:val="single"/>
        </w:rPr>
        <w:t>amparista</w:t>
      </w:r>
      <w:proofErr w:type="spellEnd"/>
      <w:r w:rsidRPr="004B5B9A">
        <w:rPr>
          <w:rFonts w:ascii="Arial" w:hAnsi="Arial" w:cs="Arial"/>
          <w:b/>
          <w:bCs/>
          <w:sz w:val="24"/>
          <w:u w:val="single"/>
        </w:rPr>
        <w:t xml:space="preserve"> que primero sufriera un perjuicio irreparable y de consumación instantánea para después reclamar  la ley cuando ya es demasiado tarde</w:t>
      </w:r>
      <w:r>
        <w:rPr>
          <w:rFonts w:ascii="Arial" w:hAnsi="Arial" w:cs="Arial"/>
          <w:sz w:val="24"/>
        </w:rPr>
        <w:t>, lo cual resultaría contrario a todos los principios que exigen hacer del juicio de amparo un medio de defensa oportuno para la tutela judicial efectiva, así como un recurso efectivo para la protección de los derechos humanos. En efecto, resultaría absurdo exigir a la parte quejosa para acceder a la justicia de amparo, que se exponga a un acto de aplicación de la norma reclamada que le genere un perjuicio irreparable y que se consume de modo instantáneo en su perjuicio para posteriormente acudir al juicio de amparo a reclamar dicha legislación.</w:t>
      </w:r>
      <w:r w:rsidR="004B5B9A">
        <w:rPr>
          <w:rFonts w:ascii="Arial" w:hAnsi="Arial" w:cs="Arial"/>
          <w:sz w:val="24"/>
        </w:rPr>
        <w:t xml:space="preserve"> </w:t>
      </w:r>
      <w:r w:rsidR="001A6CA3">
        <w:rPr>
          <w:rFonts w:ascii="Arial" w:hAnsi="Arial" w:cs="Arial"/>
          <w:sz w:val="24"/>
        </w:rPr>
        <w:t>Máxime</w:t>
      </w:r>
      <w:r>
        <w:rPr>
          <w:rFonts w:ascii="Arial" w:hAnsi="Arial" w:cs="Arial"/>
          <w:sz w:val="24"/>
        </w:rPr>
        <w:t xml:space="preserve"> que, </w:t>
      </w:r>
      <w:r w:rsidR="00A0239D">
        <w:rPr>
          <w:rFonts w:ascii="Arial" w:hAnsi="Arial" w:cs="Arial"/>
          <w:sz w:val="24"/>
        </w:rPr>
        <w:t xml:space="preserve">de conformidad con la jurisprudencia del Pleno de la Suprema Corte de Justicia de la Nación </w:t>
      </w:r>
      <w:r w:rsidR="00A54D36">
        <w:rPr>
          <w:rFonts w:ascii="Arial" w:hAnsi="Arial" w:cs="Arial"/>
          <w:sz w:val="24"/>
        </w:rPr>
        <w:t>de rubro siguiente:</w:t>
      </w:r>
      <w:r w:rsidR="00A0239D">
        <w:rPr>
          <w:rFonts w:ascii="Arial" w:hAnsi="Arial" w:cs="Arial"/>
          <w:sz w:val="24"/>
        </w:rPr>
        <w:t xml:space="preserve"> </w:t>
      </w:r>
    </w:p>
    <w:p w14:paraId="01F74866" w14:textId="5AC7FC43" w:rsidR="00A54D36" w:rsidRDefault="00A54D36" w:rsidP="003C39B4">
      <w:pPr>
        <w:pStyle w:val="Sangradetextonormal"/>
        <w:spacing w:line="276" w:lineRule="auto"/>
        <w:rPr>
          <w:rFonts w:ascii="Arial" w:hAnsi="Arial" w:cs="Arial"/>
          <w:sz w:val="24"/>
        </w:rPr>
      </w:pPr>
    </w:p>
    <w:p w14:paraId="281CE4D2" w14:textId="1CF0A459" w:rsidR="00A54D36" w:rsidRPr="004B5B9A" w:rsidRDefault="00A54D36" w:rsidP="00A54D36">
      <w:pPr>
        <w:pStyle w:val="Sinespaciado"/>
        <w:ind w:left="851" w:right="623"/>
        <w:jc w:val="both"/>
        <w:rPr>
          <w:rFonts w:ascii="Arial" w:hAnsi="Arial" w:cs="Arial"/>
          <w:sz w:val="20"/>
          <w:szCs w:val="20"/>
        </w:rPr>
      </w:pPr>
      <w:r w:rsidRPr="004B5B9A">
        <w:rPr>
          <w:rFonts w:ascii="Arial" w:hAnsi="Arial" w:cs="Arial"/>
          <w:b/>
          <w:i/>
          <w:sz w:val="20"/>
          <w:szCs w:val="20"/>
        </w:rPr>
        <w:t>“COSTO DE LO VENDIDO. LOS ARTÍCULOS DE LA LEY DEL IMPUESTO SOBRE LA RENTA REFORMADOS Y ADICIONADOS MEDIANTE EL DECRETO PUBLICADO EN EL DIARIO OFICIAL DE LA FEDERACIÓN EL 1o. DE DICIEMBRE DE 2004, QUE ESTABLECEN DICHA DEDUCCIÓN, CONSTITUYEN UN SISTEMA JURÍDICO INTEGRAL DE CARÁCTER AUTOAPLICATIVO, POR LO QUE ES INNECESARIO QUE EL GOBERNADO SE SITÚE EN CADA UNA DE LAS HIPÓTESIS QUE LO CONFORMAN PARA RECLAMARLO EN AMPARO INDIRECTO</w:t>
      </w:r>
      <w:r w:rsidRPr="004B5B9A">
        <w:rPr>
          <w:rFonts w:ascii="Arial" w:hAnsi="Arial" w:cs="Arial"/>
          <w:i/>
          <w:sz w:val="20"/>
          <w:szCs w:val="20"/>
        </w:rPr>
        <w:t>”</w:t>
      </w:r>
      <w:r w:rsidRPr="004B5B9A">
        <w:rPr>
          <w:rStyle w:val="Refdenotaalpie"/>
          <w:rFonts w:ascii="Arial" w:hAnsi="Arial" w:cs="Arial"/>
          <w:i/>
          <w:sz w:val="20"/>
          <w:szCs w:val="20"/>
        </w:rPr>
        <w:footnoteReference w:id="15"/>
      </w:r>
      <w:r w:rsidRPr="004B5B9A">
        <w:rPr>
          <w:rFonts w:ascii="Arial" w:hAnsi="Arial" w:cs="Arial"/>
          <w:b/>
          <w:i/>
          <w:sz w:val="20"/>
          <w:szCs w:val="20"/>
        </w:rPr>
        <w:t xml:space="preserve"> </w:t>
      </w:r>
    </w:p>
    <w:p w14:paraId="22FB0A09" w14:textId="77777777" w:rsidR="00A54D36" w:rsidRPr="004B5B9A" w:rsidRDefault="00A54D36" w:rsidP="003C39B4">
      <w:pPr>
        <w:pStyle w:val="Sangradetextonormal"/>
        <w:spacing w:line="276" w:lineRule="auto"/>
        <w:rPr>
          <w:rFonts w:ascii="Arial" w:hAnsi="Arial" w:cs="Arial"/>
          <w:sz w:val="22"/>
          <w:szCs w:val="22"/>
        </w:rPr>
      </w:pPr>
    </w:p>
    <w:p w14:paraId="41D9BE77" w14:textId="743128A1" w:rsidR="00A54D36" w:rsidRPr="004B5B9A" w:rsidRDefault="00A54D36" w:rsidP="00A54D36">
      <w:pPr>
        <w:pStyle w:val="Sinespaciado"/>
        <w:ind w:left="851" w:right="623"/>
        <w:jc w:val="both"/>
        <w:rPr>
          <w:rFonts w:ascii="Arial" w:hAnsi="Arial" w:cs="Arial"/>
          <w:sz w:val="20"/>
          <w:szCs w:val="20"/>
        </w:rPr>
      </w:pPr>
      <w:r w:rsidRPr="004B5B9A">
        <w:rPr>
          <w:rFonts w:ascii="Arial" w:hAnsi="Arial" w:cs="Arial"/>
          <w:b/>
          <w:i/>
          <w:sz w:val="20"/>
          <w:szCs w:val="20"/>
        </w:rPr>
        <w:t>“ACTIVO. LA LEY QUE ESTABLECE EL IMPUESTO RELATIVO CONTIENE DISPOSICIONES RELACIONADAS ENTRE SÍ, LO QUE DA LUGAR A QUE QUIENES SE ENCUENTRAN EN LOS SUPUESTOS DE SU AUTOAPLICACIÓN, TENGAN INTERÉS JURÍDICO EN RECLAMAR CUALQUIERA DE LOS PRECEPTOS QUE REGULAN EL SISTEMA ESPECÍFICO PREVISTO PARA LA CATEGORÍA DE CONTRIBUYENTE QUE SE DEMOSTRÓ TENER</w:t>
      </w:r>
      <w:r w:rsidRPr="004B5B9A">
        <w:rPr>
          <w:rFonts w:ascii="Arial" w:hAnsi="Arial" w:cs="Arial"/>
          <w:i/>
          <w:sz w:val="20"/>
          <w:szCs w:val="20"/>
        </w:rPr>
        <w:t>”</w:t>
      </w:r>
      <w:r w:rsidRPr="004B5B9A">
        <w:rPr>
          <w:rStyle w:val="Refdenotaalpie"/>
          <w:rFonts w:ascii="Arial" w:hAnsi="Arial" w:cs="Arial"/>
          <w:i/>
          <w:sz w:val="20"/>
          <w:szCs w:val="20"/>
        </w:rPr>
        <w:footnoteReference w:id="16"/>
      </w:r>
      <w:r w:rsidRPr="004B5B9A">
        <w:rPr>
          <w:rFonts w:ascii="Arial" w:hAnsi="Arial" w:cs="Arial"/>
          <w:i/>
          <w:sz w:val="20"/>
          <w:szCs w:val="20"/>
        </w:rPr>
        <w:t>.</w:t>
      </w:r>
      <w:r w:rsidRPr="004B5B9A">
        <w:rPr>
          <w:rFonts w:ascii="Arial" w:hAnsi="Arial" w:cs="Arial"/>
          <w:sz w:val="20"/>
          <w:szCs w:val="20"/>
        </w:rPr>
        <w:t xml:space="preserve"> </w:t>
      </w:r>
    </w:p>
    <w:p w14:paraId="1CCDCBD1" w14:textId="77777777" w:rsidR="00A54D36" w:rsidRDefault="00A54D36" w:rsidP="003C39B4">
      <w:pPr>
        <w:pStyle w:val="Sangradetextonormal"/>
        <w:spacing w:line="276" w:lineRule="auto"/>
        <w:rPr>
          <w:rFonts w:ascii="Arial" w:hAnsi="Arial" w:cs="Arial"/>
          <w:sz w:val="24"/>
        </w:rPr>
      </w:pPr>
    </w:p>
    <w:p w14:paraId="1D9F66AB" w14:textId="1E10CB39" w:rsidR="002F5D0D" w:rsidRDefault="00A54D36" w:rsidP="003C39B4">
      <w:pPr>
        <w:pStyle w:val="Sangradetextonormal"/>
        <w:spacing w:line="276" w:lineRule="auto"/>
        <w:rPr>
          <w:rFonts w:ascii="Arial" w:hAnsi="Arial" w:cs="Arial"/>
          <w:sz w:val="24"/>
        </w:rPr>
      </w:pPr>
      <w:r>
        <w:rPr>
          <w:rFonts w:ascii="Arial" w:hAnsi="Arial" w:cs="Arial"/>
          <w:sz w:val="24"/>
        </w:rPr>
        <w:t>N</w:t>
      </w:r>
      <w:r w:rsidR="00A0239D">
        <w:rPr>
          <w:rFonts w:ascii="Arial" w:hAnsi="Arial" w:cs="Arial"/>
          <w:sz w:val="24"/>
        </w:rPr>
        <w:t>o es dable concluir que los principios de instancia de parte agraviada, inter</w:t>
      </w:r>
      <w:r w:rsidR="00B364BA">
        <w:rPr>
          <w:rFonts w:ascii="Arial" w:hAnsi="Arial" w:cs="Arial"/>
          <w:sz w:val="24"/>
        </w:rPr>
        <w:t>é</w:t>
      </w:r>
      <w:r w:rsidR="00A0239D">
        <w:rPr>
          <w:rFonts w:ascii="Arial" w:hAnsi="Arial" w:cs="Arial"/>
          <w:sz w:val="24"/>
        </w:rPr>
        <w:t xml:space="preserve">s jurídico e interés </w:t>
      </w:r>
      <w:r w:rsidR="00B364BA">
        <w:rPr>
          <w:rFonts w:ascii="Arial" w:hAnsi="Arial" w:cs="Arial"/>
          <w:sz w:val="24"/>
        </w:rPr>
        <w:t>legítimo</w:t>
      </w:r>
      <w:r w:rsidR="00A0239D">
        <w:rPr>
          <w:rFonts w:ascii="Arial" w:hAnsi="Arial" w:cs="Arial"/>
          <w:sz w:val="24"/>
        </w:rPr>
        <w:t xml:space="preserve">, son requisitos que obligan a concebir una norma como autoaplicativa únicamente cuando existe una afectación material, sino que las afectaciones jurídicas que esta produce son suficientes para acreditar </w:t>
      </w:r>
      <w:r w:rsidR="00B364BA">
        <w:rPr>
          <w:rFonts w:ascii="Arial" w:hAnsi="Arial" w:cs="Arial"/>
          <w:sz w:val="24"/>
        </w:rPr>
        <w:t>el interés del suscrito</w:t>
      </w:r>
      <w:r w:rsidR="00A0239D">
        <w:rPr>
          <w:rFonts w:ascii="Arial" w:hAnsi="Arial" w:cs="Arial"/>
          <w:sz w:val="24"/>
        </w:rPr>
        <w:t>, lo cual es acorde a una concepción armónica y sistemática de tales principios constitucionales con lo dispuesto por el artículo 1 y 17 Constitucional, 2.3 del Pacto Internacional de Derechos Civiles y Políticos y 25.1 de la Convención Americana Sobre Derechos Humanos</w:t>
      </w:r>
      <w:r w:rsidR="00321893">
        <w:rPr>
          <w:rStyle w:val="Refdenotaalpie"/>
          <w:rFonts w:ascii="Arial" w:hAnsi="Arial" w:cs="Arial"/>
          <w:sz w:val="24"/>
        </w:rPr>
        <w:footnoteReference w:id="17"/>
      </w:r>
      <w:r w:rsidR="00A0239D">
        <w:rPr>
          <w:rFonts w:ascii="Arial" w:hAnsi="Arial" w:cs="Arial"/>
          <w:sz w:val="24"/>
        </w:rPr>
        <w:t>.</w:t>
      </w:r>
    </w:p>
    <w:p w14:paraId="10DF70CC" w14:textId="77777777" w:rsidR="00A54D36" w:rsidRDefault="00A54D36" w:rsidP="003C39B4">
      <w:pPr>
        <w:pStyle w:val="Sangradetextonormal"/>
        <w:spacing w:line="276" w:lineRule="auto"/>
        <w:rPr>
          <w:rFonts w:ascii="Arial" w:hAnsi="Arial" w:cs="Arial"/>
          <w:sz w:val="24"/>
        </w:rPr>
      </w:pPr>
    </w:p>
    <w:p w14:paraId="3861B945" w14:textId="05510953" w:rsidR="00A0239D" w:rsidRDefault="00A0239D" w:rsidP="003C39B4">
      <w:pPr>
        <w:pStyle w:val="Sangradetextonormal"/>
        <w:spacing w:line="276" w:lineRule="auto"/>
        <w:rPr>
          <w:rFonts w:ascii="Arial" w:hAnsi="Arial" w:cs="Arial"/>
          <w:sz w:val="24"/>
        </w:rPr>
      </w:pPr>
      <w:r>
        <w:rPr>
          <w:rFonts w:ascii="Arial" w:hAnsi="Arial" w:cs="Arial"/>
          <w:sz w:val="24"/>
        </w:rPr>
        <w:t>De lo contrario, sólo se contribuiría a lograr que el proceso constitucional fuese un “</w:t>
      </w:r>
      <w:r w:rsidRPr="00B364BA">
        <w:rPr>
          <w:rFonts w:ascii="Arial" w:hAnsi="Arial" w:cs="Arial"/>
          <w:i/>
          <w:iCs/>
          <w:sz w:val="24"/>
        </w:rPr>
        <w:t>laberinto diabólico</w:t>
      </w:r>
      <w:r>
        <w:rPr>
          <w:rFonts w:ascii="Arial" w:hAnsi="Arial" w:cs="Arial"/>
          <w:sz w:val="24"/>
        </w:rPr>
        <w:t>”, en lugar de un recurso efectivo que “</w:t>
      </w:r>
      <w:r w:rsidRPr="00B364BA">
        <w:rPr>
          <w:rFonts w:ascii="Arial" w:hAnsi="Arial" w:cs="Arial"/>
          <w:i/>
          <w:iCs/>
          <w:sz w:val="24"/>
        </w:rPr>
        <w:t xml:space="preserve">debe entenderse generosamente y no en una forma rigorista que mutile el juicio de amparo, y lo deje en </w:t>
      </w:r>
      <w:r w:rsidRPr="00B364BA">
        <w:rPr>
          <w:rFonts w:ascii="Arial" w:hAnsi="Arial" w:cs="Arial"/>
          <w:i/>
          <w:iCs/>
          <w:sz w:val="24"/>
        </w:rPr>
        <w:lastRenderedPageBreak/>
        <w:t>práctica como un instrumento extraordinariamente limitado, mientras académicamente se le exalta</w:t>
      </w:r>
      <w:r w:rsidR="00650FBC">
        <w:rPr>
          <w:rFonts w:ascii="Arial" w:hAnsi="Arial" w:cs="Arial"/>
          <w:sz w:val="24"/>
        </w:rPr>
        <w:t>”.</w:t>
      </w:r>
      <w:r w:rsidR="00650FBC">
        <w:rPr>
          <w:rStyle w:val="Refdenotaalpie"/>
          <w:rFonts w:ascii="Arial" w:hAnsi="Arial" w:cs="Arial"/>
          <w:sz w:val="24"/>
        </w:rPr>
        <w:footnoteReference w:id="18"/>
      </w:r>
    </w:p>
    <w:p w14:paraId="562229DF" w14:textId="77777777" w:rsidR="00C87787" w:rsidRDefault="00C87787" w:rsidP="003C39B4">
      <w:pPr>
        <w:pStyle w:val="Sangradetextonormal"/>
        <w:spacing w:line="276" w:lineRule="auto"/>
        <w:rPr>
          <w:rFonts w:ascii="Arial" w:hAnsi="Arial" w:cs="Arial"/>
          <w:sz w:val="24"/>
        </w:rPr>
      </w:pPr>
    </w:p>
    <w:p w14:paraId="5A6870A9" w14:textId="366EAC80" w:rsidR="007143F6" w:rsidRDefault="00760A76" w:rsidP="007143F6">
      <w:pPr>
        <w:pStyle w:val="Sangradetextonormal"/>
        <w:spacing w:line="276" w:lineRule="auto"/>
        <w:rPr>
          <w:rFonts w:ascii="Arial" w:hAnsi="Arial" w:cs="Arial"/>
          <w:sz w:val="24"/>
        </w:rPr>
      </w:pPr>
      <w:r>
        <w:rPr>
          <w:rFonts w:ascii="Arial" w:hAnsi="Arial" w:cs="Arial"/>
          <w:sz w:val="24"/>
        </w:rPr>
        <w:t>C</w:t>
      </w:r>
      <w:r w:rsidR="00650FBC">
        <w:rPr>
          <w:rFonts w:ascii="Arial" w:hAnsi="Arial" w:cs="Arial"/>
          <w:sz w:val="24"/>
        </w:rPr>
        <w:t xml:space="preserve">abe resaltar que </w:t>
      </w:r>
      <w:r w:rsidR="007143F6">
        <w:rPr>
          <w:rFonts w:ascii="Arial" w:hAnsi="Arial" w:cs="Arial"/>
          <w:sz w:val="24"/>
        </w:rPr>
        <w:t>en el presente amparo reclamo u</w:t>
      </w:r>
      <w:r w:rsidR="00FD5076">
        <w:rPr>
          <w:rFonts w:ascii="Arial" w:hAnsi="Arial" w:cs="Arial"/>
          <w:sz w:val="24"/>
        </w:rPr>
        <w:t>n acuerdo</w:t>
      </w:r>
      <w:r w:rsidR="007143F6">
        <w:rPr>
          <w:rFonts w:ascii="Arial" w:hAnsi="Arial" w:cs="Arial"/>
          <w:sz w:val="24"/>
        </w:rPr>
        <w:t xml:space="preserve"> que amedrenta el ejercicio de los derechos humanos de libre manifestación de ideas, expresión y reunión contemplados en los artículos 6, 7 y 9 de la Constitución Federal,</w:t>
      </w:r>
      <w:r w:rsidR="00B364BA">
        <w:rPr>
          <w:rFonts w:ascii="Arial" w:hAnsi="Arial" w:cs="Arial"/>
          <w:sz w:val="24"/>
        </w:rPr>
        <w:t xml:space="preserve"> toda vez que con frecuencia participo en actos pacíficos de manifestación y protesta</w:t>
      </w:r>
      <w:r w:rsidR="00A54D36">
        <w:rPr>
          <w:rFonts w:ascii="Arial" w:hAnsi="Arial" w:cs="Arial"/>
          <w:sz w:val="24"/>
        </w:rPr>
        <w:t xml:space="preserve"> contra las decisiones del gobierno federal y estatal</w:t>
      </w:r>
      <w:r w:rsidR="00B364BA">
        <w:rPr>
          <w:rFonts w:ascii="Arial" w:hAnsi="Arial" w:cs="Arial"/>
          <w:sz w:val="24"/>
        </w:rPr>
        <w:t>, es decir,</w:t>
      </w:r>
      <w:r w:rsidR="00A54D36">
        <w:rPr>
          <w:rFonts w:ascii="Arial" w:hAnsi="Arial" w:cs="Arial"/>
          <w:sz w:val="24"/>
        </w:rPr>
        <w:t xml:space="preserve"> </w:t>
      </w:r>
      <w:r>
        <w:rPr>
          <w:rFonts w:ascii="Arial" w:hAnsi="Arial" w:cs="Arial"/>
          <w:sz w:val="24"/>
        </w:rPr>
        <w:t>somos defensores de derechos humanos</w:t>
      </w:r>
      <w:r w:rsidR="00B364BA">
        <w:rPr>
          <w:rFonts w:ascii="Arial" w:hAnsi="Arial" w:cs="Arial"/>
          <w:sz w:val="24"/>
        </w:rPr>
        <w:t>.</w:t>
      </w:r>
      <w:r w:rsidR="007143F6">
        <w:rPr>
          <w:rFonts w:ascii="Arial" w:hAnsi="Arial" w:cs="Arial"/>
          <w:sz w:val="24"/>
        </w:rPr>
        <w:t xml:space="preserve"> </w:t>
      </w:r>
      <w:r w:rsidR="00B364BA">
        <w:rPr>
          <w:rFonts w:ascii="Arial" w:hAnsi="Arial" w:cs="Arial"/>
          <w:sz w:val="24"/>
        </w:rPr>
        <w:t>P</w:t>
      </w:r>
      <w:r w:rsidR="007143F6">
        <w:rPr>
          <w:rFonts w:ascii="Arial" w:hAnsi="Arial" w:cs="Arial"/>
          <w:sz w:val="24"/>
        </w:rPr>
        <w:t>or tal motivo, debe admitirse la presente demanda tomando en consideración que no</w:t>
      </w:r>
      <w:r w:rsidR="00B364BA">
        <w:rPr>
          <w:rFonts w:ascii="Arial" w:hAnsi="Arial" w:cs="Arial"/>
          <w:sz w:val="24"/>
        </w:rPr>
        <w:t xml:space="preserve"> existe una causa</w:t>
      </w:r>
      <w:r w:rsidR="007143F6">
        <w:rPr>
          <w:rFonts w:ascii="Arial" w:hAnsi="Arial" w:cs="Arial"/>
          <w:sz w:val="24"/>
        </w:rPr>
        <w:t xml:space="preserve"> manifiest</w:t>
      </w:r>
      <w:r w:rsidR="00B364BA">
        <w:rPr>
          <w:rFonts w:ascii="Arial" w:hAnsi="Arial" w:cs="Arial"/>
          <w:sz w:val="24"/>
        </w:rPr>
        <w:t>a</w:t>
      </w:r>
      <w:r w:rsidR="007143F6">
        <w:rPr>
          <w:rFonts w:ascii="Arial" w:hAnsi="Arial" w:cs="Arial"/>
          <w:sz w:val="24"/>
        </w:rPr>
        <w:t xml:space="preserve"> ni indudable</w:t>
      </w:r>
      <w:r w:rsidR="00343D99">
        <w:rPr>
          <w:rFonts w:ascii="Arial" w:hAnsi="Arial" w:cs="Arial"/>
          <w:sz w:val="24"/>
        </w:rPr>
        <w:t xml:space="preserve"> de desechamiento</w:t>
      </w:r>
      <w:r w:rsidR="007143F6">
        <w:rPr>
          <w:rFonts w:ascii="Arial" w:hAnsi="Arial" w:cs="Arial"/>
          <w:sz w:val="24"/>
        </w:rPr>
        <w:t xml:space="preserve">. </w:t>
      </w:r>
      <w:r w:rsidR="007143F6" w:rsidRPr="0050671B">
        <w:rPr>
          <w:rFonts w:ascii="Arial" w:hAnsi="Arial" w:cs="Arial"/>
          <w:sz w:val="24"/>
        </w:rPr>
        <w:t xml:space="preserve">A continuación, </w:t>
      </w:r>
      <w:r w:rsidR="00506F70">
        <w:rPr>
          <w:rFonts w:ascii="Arial" w:hAnsi="Arial" w:cs="Arial"/>
          <w:sz w:val="24"/>
        </w:rPr>
        <w:t>sirve de orientación</w:t>
      </w:r>
      <w:r w:rsidR="007143F6" w:rsidRPr="0050671B">
        <w:rPr>
          <w:rFonts w:ascii="Arial" w:hAnsi="Arial" w:cs="Arial"/>
          <w:sz w:val="24"/>
        </w:rPr>
        <w:t xml:space="preserve"> la jurisprudencia común emitida por la Segunda Sala de la Suprema Corte de Justicia de la Nación, con número de registro 2018417, de rubro y texto siguiente: </w:t>
      </w:r>
    </w:p>
    <w:p w14:paraId="03188753" w14:textId="77777777" w:rsidR="007143F6" w:rsidRPr="0050671B" w:rsidRDefault="007143F6" w:rsidP="007143F6">
      <w:pPr>
        <w:pStyle w:val="Sangradetextonormal"/>
        <w:spacing w:line="276" w:lineRule="auto"/>
        <w:rPr>
          <w:rFonts w:ascii="Arial" w:hAnsi="Arial" w:cs="Arial"/>
          <w:sz w:val="24"/>
        </w:rPr>
      </w:pPr>
    </w:p>
    <w:p w14:paraId="73B6D85C" w14:textId="6C3DA5D7" w:rsidR="007143F6" w:rsidRPr="008C1067" w:rsidRDefault="007143F6" w:rsidP="001200C9">
      <w:pPr>
        <w:spacing w:after="0" w:line="240" w:lineRule="auto"/>
        <w:ind w:left="454" w:right="284"/>
        <w:jc w:val="both"/>
        <w:rPr>
          <w:rFonts w:ascii="Arial" w:hAnsi="Arial" w:cs="Arial"/>
          <w:i/>
          <w:sz w:val="24"/>
          <w:szCs w:val="24"/>
        </w:rPr>
      </w:pPr>
      <w:r w:rsidRPr="008C1067">
        <w:rPr>
          <w:rFonts w:ascii="Arial" w:hAnsi="Arial" w:cs="Arial"/>
          <w:b/>
          <w:i/>
          <w:sz w:val="24"/>
          <w:szCs w:val="24"/>
        </w:rPr>
        <w:t>“SEGURIDAD INTERIOR. LA FALTA DE INTERÉS LEGÍTIMO SOBRE LA BASE DE QUE EL QUEJOSO NO ESTÁ EN UNA SITUACIÓN DIFERENCIADA DE CUALQUIER OTRA PERSONA DENTRO DEL TERRITORIO NACIONAL, POR REGLA GENERAL, NO ES UNA CAUSA DE IMPROCEDENCIA MANIFIESTA E INDUDABLE QUE LLEVE A DESECHAR LA DEMANDA DE AMPARO CUANDO RECLAMA LA LEY RELATIVA POR PRESUNTA AFECTACIÓN A SUS DERECHOS HUMANOS A LA LIBRE MANIFESTACIÓN DE LAS IDEAS, EXPRESIÓN Y REUNIÓN</w:t>
      </w:r>
      <w:r w:rsidRPr="008C1067">
        <w:rPr>
          <w:rFonts w:ascii="Arial" w:hAnsi="Arial" w:cs="Arial"/>
          <w:i/>
          <w:sz w:val="24"/>
          <w:szCs w:val="24"/>
        </w:rPr>
        <w:t>”</w:t>
      </w:r>
      <w:r w:rsidRPr="008C1067">
        <w:rPr>
          <w:rStyle w:val="Refdenotaalpie"/>
          <w:rFonts w:ascii="Arial" w:hAnsi="Arial" w:cs="Arial"/>
          <w:i/>
          <w:sz w:val="24"/>
          <w:szCs w:val="24"/>
        </w:rPr>
        <w:footnoteReference w:id="19"/>
      </w:r>
    </w:p>
    <w:p w14:paraId="14102BA2" w14:textId="77777777" w:rsidR="001200C9" w:rsidRPr="008C1067" w:rsidRDefault="001200C9" w:rsidP="001200C9">
      <w:pPr>
        <w:spacing w:after="0" w:line="240" w:lineRule="auto"/>
        <w:ind w:left="454" w:right="284"/>
        <w:jc w:val="both"/>
        <w:rPr>
          <w:rFonts w:ascii="Arial" w:hAnsi="Arial" w:cs="Arial"/>
          <w:i/>
          <w:sz w:val="24"/>
          <w:szCs w:val="24"/>
        </w:rPr>
      </w:pPr>
    </w:p>
    <w:p w14:paraId="59587EF8" w14:textId="7148E478" w:rsidR="00D833BD" w:rsidRDefault="00D833BD" w:rsidP="00D833BD">
      <w:pPr>
        <w:pStyle w:val="Sangradetextonormal"/>
        <w:spacing w:line="276" w:lineRule="auto"/>
        <w:rPr>
          <w:rFonts w:ascii="Arial" w:hAnsi="Arial" w:cs="Arial"/>
          <w:sz w:val="24"/>
        </w:rPr>
      </w:pPr>
      <w:r>
        <w:rPr>
          <w:rFonts w:ascii="Arial" w:hAnsi="Arial" w:cs="Arial"/>
          <w:sz w:val="24"/>
        </w:rPr>
        <w:t xml:space="preserve">En tal contexto, también se actualiza el interés jurídico y </w:t>
      </w:r>
      <w:r w:rsidR="00A51895">
        <w:rPr>
          <w:rFonts w:ascii="Arial" w:hAnsi="Arial" w:cs="Arial"/>
          <w:sz w:val="24"/>
        </w:rPr>
        <w:t>legítimo</w:t>
      </w:r>
      <w:r>
        <w:rPr>
          <w:rFonts w:ascii="Arial" w:hAnsi="Arial" w:cs="Arial"/>
          <w:sz w:val="24"/>
        </w:rPr>
        <w:t xml:space="preserve"> de la parte quejosa para reclam</w:t>
      </w:r>
      <w:r w:rsidR="00C87E32">
        <w:rPr>
          <w:rFonts w:ascii="Arial" w:hAnsi="Arial" w:cs="Arial"/>
          <w:sz w:val="24"/>
        </w:rPr>
        <w:t>ar desde su entrada en vigor las normas generales reclamadas</w:t>
      </w:r>
      <w:r>
        <w:rPr>
          <w:rFonts w:ascii="Arial" w:hAnsi="Arial" w:cs="Arial"/>
          <w:sz w:val="24"/>
        </w:rPr>
        <w:t xml:space="preserve">, pues al ser beneficiaria de la tarea del Estado de brindar seguridad pública, tengo el derecho a cuestionar aquellos aspectos de la </w:t>
      </w:r>
      <w:r w:rsidR="004E74EE">
        <w:rPr>
          <w:rFonts w:ascii="Arial" w:hAnsi="Arial" w:cs="Arial"/>
          <w:sz w:val="24"/>
        </w:rPr>
        <w:t>norma</w:t>
      </w:r>
      <w:r w:rsidR="00506F70">
        <w:rPr>
          <w:rFonts w:ascii="Arial" w:hAnsi="Arial" w:cs="Arial"/>
          <w:sz w:val="24"/>
        </w:rPr>
        <w:t xml:space="preserve"> general</w:t>
      </w:r>
      <w:r>
        <w:rPr>
          <w:rFonts w:ascii="Arial" w:hAnsi="Arial" w:cs="Arial"/>
          <w:sz w:val="24"/>
        </w:rPr>
        <w:t xml:space="preserve"> que por su naturaleza </w:t>
      </w:r>
      <w:r w:rsidR="00321893">
        <w:rPr>
          <w:rFonts w:ascii="Arial" w:hAnsi="Arial" w:cs="Arial"/>
          <w:sz w:val="24"/>
        </w:rPr>
        <w:t xml:space="preserve"> objetivamente sean susceptibles de provocar un riesgo objetivo o daño en el goce de mis derechos fundamentales, tales como la vida, la integridad, la libertad personal, la libertad de tránsito, la inviolabilidad del domicilio.</w:t>
      </w:r>
    </w:p>
    <w:p w14:paraId="40F01099" w14:textId="77777777" w:rsidR="001A6CA3" w:rsidRDefault="001A6CA3" w:rsidP="00D833BD">
      <w:pPr>
        <w:pStyle w:val="Sangradetextonormal"/>
        <w:spacing w:line="276" w:lineRule="auto"/>
        <w:rPr>
          <w:rFonts w:ascii="Arial" w:hAnsi="Arial" w:cs="Arial"/>
          <w:sz w:val="24"/>
        </w:rPr>
      </w:pPr>
    </w:p>
    <w:p w14:paraId="36B387F1" w14:textId="77777777" w:rsidR="001A6CA3" w:rsidRDefault="001A6CA3" w:rsidP="001A6CA3">
      <w:pPr>
        <w:pStyle w:val="Sangradetextonormal"/>
        <w:spacing w:line="276" w:lineRule="auto"/>
        <w:ind w:firstLine="567"/>
        <w:rPr>
          <w:rFonts w:ascii="Arial" w:hAnsi="Arial" w:cs="Arial"/>
          <w:sz w:val="20"/>
          <w:szCs w:val="20"/>
        </w:rPr>
      </w:pPr>
      <w:r w:rsidRPr="00EF2874">
        <w:rPr>
          <w:rFonts w:ascii="Arial" w:hAnsi="Arial" w:cs="Arial"/>
          <w:bCs/>
          <w:sz w:val="24"/>
        </w:rPr>
        <w:t>Sirve</w:t>
      </w:r>
      <w:r>
        <w:rPr>
          <w:rFonts w:ascii="Arial" w:hAnsi="Arial" w:cs="Arial"/>
          <w:bCs/>
          <w:sz w:val="24"/>
        </w:rPr>
        <w:t xml:space="preserve"> de apoyo</w:t>
      </w:r>
      <w:r w:rsidRPr="00EF2874">
        <w:rPr>
          <w:rFonts w:ascii="Arial" w:hAnsi="Arial" w:cs="Arial"/>
          <w:bCs/>
          <w:sz w:val="24"/>
        </w:rPr>
        <w:t xml:space="preserve"> a lo anterior las dos tesis y la jurisprudencia del rubro y texto siguiente:</w:t>
      </w:r>
      <w:r>
        <w:rPr>
          <w:rFonts w:ascii="Arial" w:hAnsi="Arial" w:cs="Arial"/>
          <w:bCs/>
          <w:sz w:val="24"/>
        </w:rPr>
        <w:t xml:space="preserve"> </w:t>
      </w:r>
      <w:r w:rsidRPr="001200C9">
        <w:rPr>
          <w:rFonts w:ascii="Arial" w:hAnsi="Arial" w:cs="Arial"/>
          <w:sz w:val="20"/>
          <w:szCs w:val="20"/>
        </w:rPr>
        <w:t>“</w:t>
      </w:r>
      <w:r w:rsidRPr="001200C9">
        <w:rPr>
          <w:rFonts w:ascii="Arial" w:hAnsi="Arial" w:cs="Arial"/>
          <w:b/>
          <w:i/>
          <w:sz w:val="20"/>
          <w:szCs w:val="20"/>
        </w:rPr>
        <w:t>PRINCIPIOS DE UNIVERSALIDAD, INTERDEPENDENCIA, INDIVISIBILIDAD Y PROGRESIVIDAD ESTABLECIDOS EN LA CONSTITUCIÓN FEDERAL. REPRESENTAN CRITERIOS DE OPTIMIZACIÓN INTERPRETATIVA DE LOS DERECHOS FUNDAMENTALES</w:t>
      </w:r>
      <w:r w:rsidRPr="001200C9">
        <w:rPr>
          <w:rFonts w:ascii="Arial" w:hAnsi="Arial" w:cs="Arial"/>
          <w:sz w:val="20"/>
          <w:szCs w:val="20"/>
        </w:rPr>
        <w:t>”</w:t>
      </w:r>
      <w:r w:rsidRPr="001200C9">
        <w:rPr>
          <w:rStyle w:val="Refdenotaalpie"/>
          <w:rFonts w:ascii="Arial" w:hAnsi="Arial" w:cs="Arial"/>
          <w:sz w:val="20"/>
          <w:szCs w:val="20"/>
        </w:rPr>
        <w:footnoteReference w:id="20"/>
      </w:r>
    </w:p>
    <w:p w14:paraId="0BC59A0C" w14:textId="77777777" w:rsidR="001A6CA3" w:rsidRDefault="001A6CA3" w:rsidP="00D833BD">
      <w:pPr>
        <w:pStyle w:val="Sangradetextonormal"/>
        <w:spacing w:line="276" w:lineRule="auto"/>
        <w:rPr>
          <w:rFonts w:ascii="Arial" w:hAnsi="Arial" w:cs="Arial"/>
          <w:sz w:val="24"/>
        </w:rPr>
      </w:pPr>
    </w:p>
    <w:p w14:paraId="324385F5" w14:textId="1688656F" w:rsidR="000757A0" w:rsidRPr="002327EA" w:rsidRDefault="000757A0" w:rsidP="00531920">
      <w:pPr>
        <w:jc w:val="both"/>
        <w:rPr>
          <w:rFonts w:ascii="Arial" w:hAnsi="Arial" w:cs="Arial"/>
          <w:sz w:val="24"/>
        </w:rPr>
      </w:pPr>
      <w:r>
        <w:rPr>
          <w:rFonts w:ascii="Arial" w:hAnsi="Arial" w:cs="Arial"/>
          <w:sz w:val="24"/>
        </w:rPr>
        <w:t>Además,</w:t>
      </w:r>
      <w:r w:rsidR="00531920">
        <w:rPr>
          <w:rFonts w:ascii="Arial" w:hAnsi="Arial" w:cs="Arial"/>
          <w:sz w:val="24"/>
        </w:rPr>
        <w:t xml:space="preserve"> </w:t>
      </w:r>
      <w:r w:rsidR="00531920" w:rsidRPr="00531920">
        <w:rPr>
          <w:rFonts w:ascii="Arial" w:hAnsi="Arial" w:cs="Arial"/>
          <w:sz w:val="24"/>
          <w:szCs w:val="24"/>
        </w:rPr>
        <w:t>como se resolvió en los Amparos en Revisión</w:t>
      </w:r>
      <w:r w:rsidRPr="00531920">
        <w:rPr>
          <w:rFonts w:ascii="Arial" w:hAnsi="Arial" w:cs="Arial"/>
          <w:sz w:val="24"/>
          <w:szCs w:val="24"/>
        </w:rPr>
        <w:t xml:space="preserve"> </w:t>
      </w:r>
      <w:r w:rsidR="00531920" w:rsidRPr="00531920">
        <w:rPr>
          <w:rFonts w:ascii="Arial" w:hAnsi="Arial" w:cs="Arial"/>
          <w:sz w:val="24"/>
          <w:szCs w:val="24"/>
        </w:rPr>
        <w:t>123/2021, 181/2021 y 191/2021 del índice del Primer Tribunal Colegiado en Materias Administrativa y de Trabajo del Décimo Primer Circuito,</w:t>
      </w:r>
      <w:r w:rsidR="00531920">
        <w:rPr>
          <w:rFonts w:ascii="Arial" w:hAnsi="Arial" w:cs="Arial"/>
        </w:rPr>
        <w:t xml:space="preserve"> </w:t>
      </w:r>
      <w:r>
        <w:rPr>
          <w:rFonts w:ascii="Arial" w:hAnsi="Arial" w:cs="Arial"/>
          <w:sz w:val="24"/>
        </w:rPr>
        <w:t>se reitera e</w:t>
      </w:r>
      <w:r w:rsidRPr="002327EA">
        <w:rPr>
          <w:rFonts w:ascii="Arial" w:hAnsi="Arial" w:cs="Arial"/>
          <w:sz w:val="24"/>
        </w:rPr>
        <w:t>l párrafo tercero del art</w:t>
      </w:r>
      <w:r>
        <w:rPr>
          <w:rFonts w:ascii="Arial" w:hAnsi="Arial" w:cs="Arial"/>
          <w:sz w:val="24"/>
        </w:rPr>
        <w:t>ículo 17 y el diverso</w:t>
      </w:r>
      <w:r w:rsidRPr="002327EA">
        <w:rPr>
          <w:rFonts w:ascii="Arial" w:hAnsi="Arial" w:cs="Arial"/>
          <w:sz w:val="24"/>
        </w:rPr>
        <w:t xml:space="preserve"> 107, fracción I, </w:t>
      </w:r>
      <w:r>
        <w:rPr>
          <w:rFonts w:ascii="Arial" w:hAnsi="Arial" w:cs="Arial"/>
          <w:sz w:val="24"/>
        </w:rPr>
        <w:t xml:space="preserve">ambos </w:t>
      </w:r>
      <w:r w:rsidRPr="002327EA">
        <w:rPr>
          <w:rFonts w:ascii="Arial" w:hAnsi="Arial" w:cs="Arial"/>
          <w:sz w:val="24"/>
        </w:rPr>
        <w:t xml:space="preserve">de la Constitución General de la República, así como el numeral 5, fracción I, de la Ley de Amparo,  facultan al particular para que, con el carácter de quejoso, reclame actos o normas autoritarios cuando aduzca ser titular de un derecho </w:t>
      </w:r>
      <w:r w:rsidRPr="002327EA">
        <w:rPr>
          <w:rFonts w:ascii="Arial" w:hAnsi="Arial" w:cs="Arial"/>
          <w:sz w:val="24"/>
        </w:rPr>
        <w:lastRenderedPageBreak/>
        <w:t>subjetivo o de un interés legítimo individual o colectivo, siempre que alegue que la norma, acto u omisión reclamados violan los derechos previstos en el artículo 1º de la Ley de Amparo, y con ello se produzca una afectación real y actual a su esfera jurídica, ya sea de manera directa o en virtud de su especial situación frente al orden jurídico.</w:t>
      </w:r>
    </w:p>
    <w:p w14:paraId="6376DF12" w14:textId="77777777" w:rsidR="000757A0" w:rsidRDefault="000757A0" w:rsidP="000757A0">
      <w:pPr>
        <w:jc w:val="both"/>
        <w:rPr>
          <w:rFonts w:ascii="Arial" w:hAnsi="Arial" w:cs="Arial"/>
          <w:sz w:val="24"/>
        </w:rPr>
      </w:pPr>
      <w:r>
        <w:rPr>
          <w:rFonts w:ascii="Arial" w:hAnsi="Arial" w:cs="Arial"/>
          <w:sz w:val="24"/>
        </w:rPr>
        <w:t>De esa manera e</w:t>
      </w:r>
      <w:r w:rsidRPr="002327EA">
        <w:rPr>
          <w:rFonts w:ascii="Arial" w:hAnsi="Arial" w:cs="Arial"/>
          <w:sz w:val="24"/>
        </w:rPr>
        <w:t>s imperativo constitucional y legal que los jueces federales -al resolver asuntos en materia de derechos colectivos- abandonen la idea tradicional de los límites impuestos para la defensa de los derechos del individuo, a fin de que la evolución jurídica de nuestras instituciones sea efectiva y de vanguardia.</w:t>
      </w:r>
    </w:p>
    <w:p w14:paraId="625891ED" w14:textId="795E734E" w:rsidR="000757A0" w:rsidRPr="000213CF" w:rsidRDefault="000757A0" w:rsidP="000757A0">
      <w:pPr>
        <w:jc w:val="both"/>
        <w:rPr>
          <w:rFonts w:ascii="Arial" w:hAnsi="Arial" w:cs="Arial"/>
          <w:sz w:val="24"/>
        </w:rPr>
      </w:pPr>
      <w:r w:rsidRPr="000213CF">
        <w:rPr>
          <w:rFonts w:ascii="Arial" w:hAnsi="Arial" w:cs="Arial"/>
          <w:sz w:val="24"/>
        </w:rPr>
        <w:t>A</w:t>
      </w:r>
      <w:r w:rsidR="00531920">
        <w:rPr>
          <w:rFonts w:ascii="Arial" w:hAnsi="Arial" w:cs="Arial"/>
          <w:sz w:val="24"/>
        </w:rPr>
        <w:t>simismo</w:t>
      </w:r>
      <w:r w:rsidRPr="000213CF">
        <w:rPr>
          <w:rFonts w:ascii="Arial" w:hAnsi="Arial" w:cs="Arial"/>
          <w:sz w:val="24"/>
        </w:rPr>
        <w:t>, el procedimiento para acceder a la justicia por parte de las colectividades afectadas en sus intereses, debe ser simple y eficaz, a fin de garantizar la tutela efectiva de éstos derechos de nueva generación.</w:t>
      </w:r>
      <w:r w:rsidRPr="000213CF">
        <w:rPr>
          <w:rStyle w:val="Refdenotaalpie"/>
          <w:rFonts w:ascii="Arial" w:hAnsi="Arial" w:cs="Arial"/>
          <w:sz w:val="24"/>
        </w:rPr>
        <w:footnoteReference w:id="21"/>
      </w:r>
    </w:p>
    <w:p w14:paraId="7AE30983" w14:textId="77777777" w:rsidR="000757A0" w:rsidRPr="000213CF" w:rsidRDefault="000757A0" w:rsidP="000757A0">
      <w:pPr>
        <w:jc w:val="both"/>
        <w:rPr>
          <w:rFonts w:ascii="Arial" w:hAnsi="Arial" w:cs="Arial"/>
          <w:sz w:val="24"/>
        </w:rPr>
      </w:pPr>
      <w:r w:rsidRPr="000213CF">
        <w:rPr>
          <w:rFonts w:ascii="Arial" w:hAnsi="Arial" w:cs="Arial"/>
          <w:sz w:val="24"/>
        </w:rPr>
        <w:t>En ese tenor, el interés legítimo puede definirse como aquel interés personal, individual o colectivo, cualificado, actual, real y jurídicamente relevante, que puede traducirse, en caso de concederse el amparo, en un beneficio jurídico en favor del quejoso derivado de una afectación a su esfera jurídica en sentido amplio, que puede ser de índole económica, profesional, de salud pública, o de cualquier otra. Es apoyo de lo anterior la tesis 1a. XLIII/2013 (10a.) que sustentó la Primera Sala de la Suprema Corte de Justicia de la Nación, cuyo rubro y texto dicen: “</w:t>
      </w:r>
      <w:r w:rsidRPr="00A138EB">
        <w:rPr>
          <w:rFonts w:ascii="Arial" w:hAnsi="Arial" w:cs="Arial"/>
          <w:b/>
          <w:i/>
          <w:sz w:val="24"/>
        </w:rPr>
        <w:t>INTERÉS LEGÍTIMO EN EL AMPARO. SU DIFERENCIA CON EL INTERÉS SIMPLE</w:t>
      </w:r>
      <w:r w:rsidRPr="000213CF">
        <w:rPr>
          <w:rFonts w:ascii="Arial" w:hAnsi="Arial" w:cs="Arial"/>
          <w:sz w:val="24"/>
        </w:rPr>
        <w:t>”</w:t>
      </w:r>
      <w:r w:rsidRPr="000213CF">
        <w:rPr>
          <w:rStyle w:val="Refdenotaalpie"/>
          <w:rFonts w:ascii="Arial" w:hAnsi="Arial" w:cs="Arial"/>
          <w:sz w:val="24"/>
        </w:rPr>
        <w:footnoteReference w:id="22"/>
      </w:r>
    </w:p>
    <w:p w14:paraId="72F0CD50" w14:textId="77777777" w:rsidR="000757A0" w:rsidRPr="000213CF" w:rsidRDefault="000757A0" w:rsidP="000757A0">
      <w:pPr>
        <w:jc w:val="both"/>
        <w:rPr>
          <w:rFonts w:ascii="Arial" w:hAnsi="Arial" w:cs="Arial"/>
          <w:sz w:val="24"/>
        </w:rPr>
      </w:pPr>
      <w:r w:rsidRPr="000213CF">
        <w:rPr>
          <w:rFonts w:ascii="Arial" w:hAnsi="Arial" w:cs="Arial"/>
          <w:sz w:val="24"/>
        </w:rPr>
        <w:t xml:space="preserve">De acuerdo con lo hasta aquí expuesto, por ejemplo, todos los individuos que viven, habitan, sean vecinos o tengan su domicilio en un determinado lugar, al margen de que se encuentren o no constituidos en alguna asociación, comparten un derecho colectivo común en torno a la protección del medio ambiente que los rodea, su patrimonio y seguridad, entre otros bienes tangibles e intangibles, en tanto que todos ellos se encuentran en una misma o varias situaciones activas concurrentes, cuyo elemento </w:t>
      </w:r>
      <w:proofErr w:type="spellStart"/>
      <w:r w:rsidRPr="000213CF">
        <w:rPr>
          <w:rFonts w:ascii="Arial" w:hAnsi="Arial" w:cs="Arial"/>
          <w:sz w:val="24"/>
        </w:rPr>
        <w:t>unificante</w:t>
      </w:r>
      <w:proofErr w:type="spellEnd"/>
      <w:r w:rsidRPr="000213CF">
        <w:rPr>
          <w:rFonts w:ascii="Arial" w:hAnsi="Arial" w:cs="Arial"/>
          <w:sz w:val="24"/>
        </w:rPr>
        <w:t xml:space="preserve"> está constituido por condiciones de estatus que tiene como base intereses que les son comunes.</w:t>
      </w:r>
    </w:p>
    <w:p w14:paraId="1B017777" w14:textId="77777777" w:rsidR="000757A0" w:rsidRPr="000213CF" w:rsidRDefault="000757A0" w:rsidP="000757A0">
      <w:pPr>
        <w:jc w:val="both"/>
        <w:rPr>
          <w:rFonts w:ascii="Arial" w:hAnsi="Arial" w:cs="Arial"/>
          <w:sz w:val="24"/>
        </w:rPr>
      </w:pPr>
      <w:r w:rsidRPr="000213CF">
        <w:rPr>
          <w:rFonts w:ascii="Arial" w:hAnsi="Arial" w:cs="Arial"/>
          <w:sz w:val="24"/>
        </w:rPr>
        <w:t xml:space="preserve">Así pues, cuando alguna autoridad a través de sus actos afecta alguno de esos derechos colectivos, aunque cada uno de los miembros del grupo pudieran resentir un daño, la lesión jurídica en puridad se causa directa e inmediatamente al interés colectivo de la comunidad que integran, en virtud del imperativo de satisfacción de una necesidad o de un beneficio respecto de la realización del bien común que los vincula. </w:t>
      </w:r>
    </w:p>
    <w:p w14:paraId="2250DE62" w14:textId="77777777" w:rsidR="000757A0" w:rsidRPr="000213CF" w:rsidRDefault="000757A0" w:rsidP="000757A0">
      <w:pPr>
        <w:jc w:val="both"/>
        <w:rPr>
          <w:rFonts w:ascii="Arial" w:hAnsi="Arial" w:cs="Arial"/>
          <w:sz w:val="24"/>
        </w:rPr>
      </w:pPr>
      <w:r w:rsidRPr="000213CF">
        <w:rPr>
          <w:rFonts w:ascii="Arial" w:hAnsi="Arial" w:cs="Arial"/>
          <w:sz w:val="24"/>
        </w:rPr>
        <w:t>Empero, aun cuando en principio podría estimarse que sólo estarían procesalmente legitimados para hacer valer o defender un derecho colectivo quienes -de acuerdo con la ley</w:t>
      </w:r>
      <w:r>
        <w:rPr>
          <w:rFonts w:ascii="Arial" w:hAnsi="Arial" w:cs="Arial"/>
          <w:sz w:val="24"/>
        </w:rPr>
        <w:t xml:space="preserve"> </w:t>
      </w:r>
      <w:r w:rsidRPr="000213CF">
        <w:rPr>
          <w:rFonts w:ascii="Arial" w:hAnsi="Arial" w:cs="Arial"/>
          <w:sz w:val="24"/>
        </w:rPr>
        <w:t>tienen el marco de representatividad de las asociaciones de personas. Lo cierto es que tratándose de derechos colectivos o difusos, la regulación legal formal no constituye una condición para determinar la legitimación procesal de los miembros de la colectividad cuando precisan defenderse de un acto autoritario que estiman afecta algún interés supraindividual y salen en defensa de ésta y a favor del grupo al que pertenecen, lo cual pueden hacer en forma colectiva o individual cada uno de los integrantes como parte de esa comunidad; en tanto que el interés que defienden, pertenece a todos los miembros del grupo y a ninguno en particular, por lo que aun sin una representación formal están legitimados para actuar en defensa de esos intereses, en cuanto que está en juego el respeto a los intereses legítimos de la comunidad.</w:t>
      </w:r>
    </w:p>
    <w:p w14:paraId="13701A64" w14:textId="77777777" w:rsidR="000757A0" w:rsidRPr="000213CF" w:rsidRDefault="000757A0" w:rsidP="000757A0">
      <w:pPr>
        <w:jc w:val="both"/>
        <w:rPr>
          <w:rFonts w:ascii="Arial" w:hAnsi="Arial" w:cs="Arial"/>
          <w:sz w:val="24"/>
        </w:rPr>
      </w:pPr>
      <w:r w:rsidRPr="000213CF">
        <w:rPr>
          <w:rFonts w:ascii="Arial" w:hAnsi="Arial" w:cs="Arial"/>
          <w:sz w:val="24"/>
        </w:rPr>
        <w:lastRenderedPageBreak/>
        <w:t xml:space="preserve">En esos términos, es válido legalmente sostener que todos los miembros del grupo tienen legitimación procesal para actuar en su defensa y protección, en tanto que se hace valer un interés común a todos que se pretende sea protegido y el interés concierne a la comunidad y no en lo individual a sus miembros. En tal virtud, cuando se acude a juicio en defensa de un cierto interés </w:t>
      </w:r>
      <w:proofErr w:type="spellStart"/>
      <w:r w:rsidRPr="000213CF">
        <w:rPr>
          <w:rFonts w:ascii="Arial" w:hAnsi="Arial" w:cs="Arial"/>
          <w:sz w:val="24"/>
        </w:rPr>
        <w:t>metaindividual</w:t>
      </w:r>
      <w:proofErr w:type="spellEnd"/>
      <w:r w:rsidRPr="000213CF">
        <w:rPr>
          <w:rFonts w:ascii="Arial" w:hAnsi="Arial" w:cs="Arial"/>
          <w:sz w:val="24"/>
        </w:rPr>
        <w:t xml:space="preserve"> de la colectividad, se representa de manera adecuada a la clase entera a la que pertenece ese interés, con independencia de que sus miembros no hubiesen otorgado su voluntad para ser representados, ni siquiera individualmente hubiesen sido identificados en la gestión; en la medida en que la decisión del conflicto que susciten se traducirá en un beneficio o -en su caso- en un perjuicio para todos los integrantes del grupo y no sólo en lo individual para quien o quienes impugnaron el acto lesivo de autoridad; dado que en esos supuestos se constituye una legitimación procesal fáctica que actúa en defensa de un interés plural, al habilitarse legalmente a uno, sólo algunos o todos sus miembros para defender ante los tribunales un interés colectivo.</w:t>
      </w:r>
    </w:p>
    <w:p w14:paraId="4EB11810" w14:textId="77777777" w:rsidR="000757A0" w:rsidRPr="000213CF" w:rsidRDefault="000757A0" w:rsidP="000757A0">
      <w:pPr>
        <w:jc w:val="both"/>
        <w:rPr>
          <w:rFonts w:ascii="Arial" w:hAnsi="Arial" w:cs="Arial"/>
          <w:sz w:val="24"/>
        </w:rPr>
      </w:pPr>
      <w:r w:rsidRPr="000213CF">
        <w:rPr>
          <w:rFonts w:ascii="Arial" w:hAnsi="Arial" w:cs="Arial"/>
          <w:sz w:val="24"/>
        </w:rPr>
        <w:t xml:space="preserve">Por tal razón, al hacer valer cualesquiera de los miembros de la colectividad algún medio de defensa legal, aun si no están organizados, individualizados, o no han recibido notificación del acto en lo particular, habrán tenido su derecho de defensa asegurando al representante ideológico. En cuya hipótesis, el Doctor Mauro </w:t>
      </w:r>
      <w:proofErr w:type="spellStart"/>
      <w:r w:rsidRPr="000213CF">
        <w:rPr>
          <w:rFonts w:ascii="Arial" w:hAnsi="Arial" w:cs="Arial"/>
          <w:sz w:val="24"/>
        </w:rPr>
        <w:t>Cappeletti</w:t>
      </w:r>
      <w:proofErr w:type="spellEnd"/>
      <w:r w:rsidRPr="000213CF">
        <w:rPr>
          <w:rFonts w:ascii="Arial" w:hAnsi="Arial" w:cs="Arial"/>
          <w:sz w:val="24"/>
        </w:rPr>
        <w:t>, al estimar que se está en presencia de una “representatividad adecuada”, sostiene:</w:t>
      </w:r>
    </w:p>
    <w:p w14:paraId="7AF4FE51" w14:textId="77777777" w:rsidR="000757A0" w:rsidRPr="000213CF" w:rsidRDefault="000757A0" w:rsidP="000757A0">
      <w:pPr>
        <w:jc w:val="both"/>
        <w:rPr>
          <w:rFonts w:ascii="Arial" w:hAnsi="Arial" w:cs="Arial"/>
          <w:sz w:val="24"/>
        </w:rPr>
      </w:pPr>
      <w:r w:rsidRPr="000213CF">
        <w:rPr>
          <w:rFonts w:ascii="Arial" w:hAnsi="Arial" w:cs="Arial"/>
          <w:sz w:val="24"/>
        </w:rPr>
        <w:t xml:space="preserve">[…] Si la ‘parte ideológica’ (individuo o asociación) que lleva en justicia un cierto tipo de interés meta-individual, representa de manera adecuada la clase entera a la que pertenece este interés será perfectamente legítimo que la decisión extienda sus efectos igualmente a las ‘partes ausentes’. En efecto, todos los miembros de la clase, aun si no están individualizados. Si no han recibido la notificación, en resumen, si no son ‘oídos’ individualmente, habrán tenido sin embargo, su </w:t>
      </w:r>
      <w:proofErr w:type="spellStart"/>
      <w:r w:rsidRPr="000213CF">
        <w:rPr>
          <w:rFonts w:ascii="Arial" w:hAnsi="Arial" w:cs="Arial"/>
          <w:sz w:val="24"/>
        </w:rPr>
        <w:t>fair</w:t>
      </w:r>
      <w:proofErr w:type="spellEnd"/>
      <w:r w:rsidRPr="000213CF">
        <w:rPr>
          <w:rFonts w:ascii="Arial" w:hAnsi="Arial" w:cs="Arial"/>
          <w:sz w:val="24"/>
        </w:rPr>
        <w:t xml:space="preserve"> </w:t>
      </w:r>
      <w:proofErr w:type="spellStart"/>
      <w:r w:rsidRPr="000213CF">
        <w:rPr>
          <w:rFonts w:ascii="Arial" w:hAnsi="Arial" w:cs="Arial"/>
          <w:sz w:val="24"/>
        </w:rPr>
        <w:t>hearing</w:t>
      </w:r>
      <w:proofErr w:type="spellEnd"/>
      <w:r w:rsidRPr="000213CF">
        <w:rPr>
          <w:rFonts w:ascii="Arial" w:hAnsi="Arial" w:cs="Arial"/>
          <w:sz w:val="24"/>
        </w:rPr>
        <w:t xml:space="preserve"> (derecho de defensa) mediante las garantías de defensa y de respeto del principio del contradictorio, aseguradas al representante ideológico […]</w:t>
      </w:r>
      <w:r w:rsidRPr="000213CF">
        <w:rPr>
          <w:rStyle w:val="Refdenotaalpie"/>
          <w:rFonts w:ascii="Arial" w:hAnsi="Arial" w:cs="Arial"/>
          <w:sz w:val="24"/>
        </w:rPr>
        <w:footnoteReference w:id="23"/>
      </w:r>
    </w:p>
    <w:p w14:paraId="23CD67D5" w14:textId="77777777" w:rsidR="000757A0" w:rsidRPr="000213CF" w:rsidRDefault="000757A0" w:rsidP="000757A0">
      <w:pPr>
        <w:jc w:val="both"/>
        <w:rPr>
          <w:rFonts w:ascii="Arial" w:hAnsi="Arial" w:cs="Arial"/>
          <w:sz w:val="24"/>
        </w:rPr>
      </w:pPr>
      <w:r w:rsidRPr="000213CF">
        <w:rPr>
          <w:rFonts w:ascii="Arial" w:hAnsi="Arial" w:cs="Arial"/>
          <w:sz w:val="24"/>
        </w:rPr>
        <w:t>Referente a ese tema, la Segunda Sala de la Suprema Corte de Justicia de la Nación, ha sostenido en jurisprudencia firme que, para probar el interés legítimo, deberá acreditarse que:</w:t>
      </w:r>
    </w:p>
    <w:p w14:paraId="1A151A57" w14:textId="77777777" w:rsidR="000757A0" w:rsidRPr="000213CF" w:rsidRDefault="000757A0" w:rsidP="000757A0">
      <w:pPr>
        <w:jc w:val="both"/>
        <w:rPr>
          <w:rFonts w:ascii="Arial" w:hAnsi="Arial" w:cs="Arial"/>
          <w:sz w:val="24"/>
        </w:rPr>
      </w:pPr>
      <w:r w:rsidRPr="000213CF">
        <w:rPr>
          <w:rFonts w:ascii="Arial" w:hAnsi="Arial" w:cs="Arial"/>
          <w:sz w:val="24"/>
        </w:rPr>
        <w:t xml:space="preserve">a) Exista una norma constitucional en la que se establezca o tutele algún interés difuso en beneficio de una colectividad determinada; </w:t>
      </w:r>
    </w:p>
    <w:p w14:paraId="36A04BC8" w14:textId="77777777" w:rsidR="000757A0" w:rsidRPr="000213CF" w:rsidRDefault="000757A0" w:rsidP="000757A0">
      <w:pPr>
        <w:jc w:val="both"/>
        <w:rPr>
          <w:rFonts w:ascii="Arial" w:hAnsi="Arial" w:cs="Arial"/>
          <w:sz w:val="24"/>
        </w:rPr>
      </w:pPr>
      <w:r w:rsidRPr="000213CF">
        <w:rPr>
          <w:rFonts w:ascii="Arial" w:hAnsi="Arial" w:cs="Arial"/>
          <w:sz w:val="24"/>
        </w:rPr>
        <w:t xml:space="preserve">b) El acto reclamado transgreda ese interés difuso, ya sea de manera individual o colectiva; y, </w:t>
      </w:r>
    </w:p>
    <w:p w14:paraId="3E87F8C5" w14:textId="77777777" w:rsidR="000757A0" w:rsidRPr="000213CF" w:rsidRDefault="000757A0" w:rsidP="000757A0">
      <w:pPr>
        <w:jc w:val="both"/>
        <w:rPr>
          <w:rFonts w:ascii="Arial" w:hAnsi="Arial" w:cs="Arial"/>
          <w:sz w:val="24"/>
        </w:rPr>
      </w:pPr>
      <w:r w:rsidRPr="000213CF">
        <w:rPr>
          <w:rFonts w:ascii="Arial" w:hAnsi="Arial" w:cs="Arial"/>
          <w:sz w:val="24"/>
        </w:rPr>
        <w:t>c) El promovente pertenezca a esa colectividad.</w:t>
      </w:r>
      <w:r w:rsidRPr="000213CF">
        <w:rPr>
          <w:rStyle w:val="Refdenotaalpie"/>
          <w:rFonts w:ascii="Arial" w:hAnsi="Arial" w:cs="Arial"/>
          <w:sz w:val="24"/>
        </w:rPr>
        <w:footnoteReference w:id="24"/>
      </w:r>
    </w:p>
    <w:p w14:paraId="015F717E" w14:textId="77777777" w:rsidR="000757A0" w:rsidRPr="000213CF" w:rsidRDefault="000757A0" w:rsidP="000757A0">
      <w:pPr>
        <w:jc w:val="both"/>
        <w:rPr>
          <w:rFonts w:ascii="Arial" w:hAnsi="Arial" w:cs="Arial"/>
          <w:sz w:val="24"/>
        </w:rPr>
      </w:pPr>
      <w:r w:rsidRPr="000213CF">
        <w:rPr>
          <w:rFonts w:ascii="Arial" w:hAnsi="Arial" w:cs="Arial"/>
          <w:sz w:val="24"/>
        </w:rPr>
        <w:t>Ahora bien, tratándose específicamente del interés legítimo de quienes se ostentan defensores de derechos humanos, la Corte Interamericana de Derechos Humanos ha considerado que la calidad de defensor de derechos humanos radica en la labor que se realiza, con independencia de que la persona que lo haga sea un particular o un funcionario público. Al respecto, la Corte se ha referido a las actividades de vigilancia, denuncia y educación que realizan las defensoras y los defensores de derechos humanos, resaltando que la defensa de los derechos no sólo atiende a los derechos civiles y políticos, sino que abarca necesariamente los derechos económicos, sociales y culturales, de conformidad con los principios de universalidad, indivisibilidad e interdependencia.</w:t>
      </w:r>
    </w:p>
    <w:p w14:paraId="45918CAB" w14:textId="77777777" w:rsidR="000757A0" w:rsidRPr="000213CF" w:rsidRDefault="000757A0" w:rsidP="000757A0">
      <w:pPr>
        <w:jc w:val="both"/>
        <w:rPr>
          <w:rFonts w:ascii="Arial" w:hAnsi="Arial" w:cs="Arial"/>
          <w:sz w:val="24"/>
        </w:rPr>
      </w:pPr>
      <w:r w:rsidRPr="000213CF">
        <w:rPr>
          <w:rFonts w:ascii="Arial" w:hAnsi="Arial" w:cs="Arial"/>
          <w:sz w:val="24"/>
        </w:rPr>
        <w:lastRenderedPageBreak/>
        <w:t xml:space="preserve"> A su vez, esa Corte Interamericana reconoció que existe un consenso internacional respecto a que las actividades realizadas por las defensoras de derechos humanos son las de promoción y protección de los derechos humanos, entre otras.</w:t>
      </w:r>
      <w:r w:rsidRPr="000213CF">
        <w:rPr>
          <w:rStyle w:val="Refdenotaalpie"/>
          <w:rFonts w:ascii="Arial" w:hAnsi="Arial" w:cs="Arial"/>
          <w:sz w:val="24"/>
        </w:rPr>
        <w:footnoteReference w:id="25"/>
      </w:r>
    </w:p>
    <w:p w14:paraId="7BCE682A" w14:textId="77777777" w:rsidR="000757A0" w:rsidRPr="000213CF" w:rsidRDefault="000757A0" w:rsidP="000757A0">
      <w:pPr>
        <w:jc w:val="both"/>
        <w:rPr>
          <w:rFonts w:ascii="Arial" w:hAnsi="Arial" w:cs="Arial"/>
          <w:sz w:val="24"/>
        </w:rPr>
      </w:pPr>
      <w:r w:rsidRPr="000213CF">
        <w:rPr>
          <w:rFonts w:ascii="Arial" w:hAnsi="Arial" w:cs="Arial"/>
          <w:sz w:val="24"/>
        </w:rPr>
        <w:t>En ese mismo sentido se han pronunciado la Alta Comisionada de las Naciones Unidas para los Derechos Humanos</w:t>
      </w:r>
      <w:r w:rsidRPr="000213CF">
        <w:rPr>
          <w:rStyle w:val="Refdenotaalpie"/>
          <w:rFonts w:ascii="Arial" w:hAnsi="Arial" w:cs="Arial"/>
          <w:sz w:val="24"/>
        </w:rPr>
        <w:footnoteReference w:id="26"/>
      </w:r>
      <w:r w:rsidRPr="000213CF">
        <w:rPr>
          <w:rFonts w:ascii="Arial" w:hAnsi="Arial" w:cs="Arial"/>
          <w:sz w:val="24"/>
        </w:rPr>
        <w:t>, el Consejo de la Unión Europea</w:t>
      </w:r>
      <w:r w:rsidRPr="000213CF">
        <w:rPr>
          <w:rStyle w:val="Refdenotaalpie"/>
          <w:rFonts w:ascii="Arial" w:hAnsi="Arial" w:cs="Arial"/>
          <w:sz w:val="24"/>
        </w:rPr>
        <w:footnoteReference w:id="27"/>
      </w:r>
      <w:r w:rsidRPr="000213CF">
        <w:rPr>
          <w:rFonts w:ascii="Arial" w:hAnsi="Arial" w:cs="Arial"/>
          <w:sz w:val="24"/>
        </w:rPr>
        <w:t>, la Asamblea Parlamentaria de la Unión Europea y la Comisión Interamericana de Derechos Humanos. Asimismo, la Declaración sobre el derecho y el deber de los individuos, los grupos y las instituciones de promover y proteger los derechos humanos y las libertades fundamentales universalmente reconocidos, aprobada por la Asamblea General de las Naciones Unidas mediante Resolución A/RES/53/144 de 1999, establece en su artículo 1 que [t]oda persona tiene derecho, individual o colectivamente, a promover y procurar la protección y realización de los derechos humanos y las libertades fundamentales en los planos nacional e internacional.</w:t>
      </w:r>
    </w:p>
    <w:p w14:paraId="387F1C14" w14:textId="77777777" w:rsidR="000757A0" w:rsidRPr="000213CF" w:rsidRDefault="000757A0" w:rsidP="000757A0">
      <w:pPr>
        <w:jc w:val="both"/>
        <w:rPr>
          <w:rFonts w:ascii="Arial" w:hAnsi="Arial" w:cs="Arial"/>
          <w:sz w:val="24"/>
        </w:rPr>
      </w:pPr>
      <w:r w:rsidRPr="000213CF">
        <w:rPr>
          <w:rFonts w:ascii="Arial" w:hAnsi="Arial" w:cs="Arial"/>
          <w:sz w:val="24"/>
        </w:rPr>
        <w:t>Aunado a lo anterior, dichas actividades, a consideración de la Corte Interamericana, deben ser realizadas de forma pacífica, por lo que no se incluyen en este concepto los actos violentos o que propagan la violencia. Asimismo, la Corte destaca que las mencionadas actividades de promoción y protección de los derechos humanos pueden ejercerse de forma intermitente u ocasional, por lo que la calidad de defensora de derechos humanos no constituye necesariamente una condición permanente.</w:t>
      </w:r>
      <w:r w:rsidRPr="000213CF">
        <w:rPr>
          <w:rStyle w:val="Refdenotaalpie"/>
          <w:rFonts w:ascii="Arial" w:hAnsi="Arial" w:cs="Arial"/>
          <w:sz w:val="24"/>
        </w:rPr>
        <w:footnoteReference w:id="28"/>
      </w:r>
    </w:p>
    <w:p w14:paraId="7F64F8D0" w14:textId="77777777" w:rsidR="000757A0" w:rsidRPr="000213CF" w:rsidRDefault="000757A0" w:rsidP="000757A0">
      <w:pPr>
        <w:jc w:val="both"/>
        <w:rPr>
          <w:rFonts w:ascii="Arial" w:hAnsi="Arial" w:cs="Arial"/>
          <w:sz w:val="24"/>
        </w:rPr>
      </w:pPr>
      <w:r w:rsidRPr="000213CF">
        <w:rPr>
          <w:rFonts w:ascii="Arial" w:hAnsi="Arial" w:cs="Arial"/>
          <w:sz w:val="24"/>
        </w:rPr>
        <w:t>En la misma tesitura, como lo refirió el juez de distrito, el artículo 2º de la Ley para la Protección de Personas Defensoras de Derechos Humanos y Periodistas, identifica a las primeras como Las personas físicas que actúen individualmente o como integrantes de un grupo, organización o movimiento social, así como personas morales, grupos, organizaciones o movimientos sociales cuya finalidad sea la promoción o defensa de los derechos humanos.</w:t>
      </w:r>
    </w:p>
    <w:p w14:paraId="5FAA43B0" w14:textId="77777777" w:rsidR="000757A0" w:rsidRPr="000213CF" w:rsidRDefault="000757A0" w:rsidP="000757A0">
      <w:pPr>
        <w:jc w:val="both"/>
        <w:rPr>
          <w:rFonts w:ascii="Arial" w:hAnsi="Arial" w:cs="Arial"/>
          <w:sz w:val="24"/>
        </w:rPr>
      </w:pPr>
      <w:r w:rsidRPr="000213CF">
        <w:rPr>
          <w:rFonts w:ascii="Arial" w:hAnsi="Arial" w:cs="Arial"/>
          <w:sz w:val="24"/>
        </w:rPr>
        <w:t>Puede observarse de tal disposición legal no condiciona el reconocimiento de esa calidad a que se cuente con algún título, reconocimiento o categorización previa; menos aun a que tal actividad se lleve a cabo de manera preponderante ni habitual.</w:t>
      </w:r>
    </w:p>
    <w:p w14:paraId="21F3A828" w14:textId="77777777" w:rsidR="000757A0" w:rsidRPr="000213CF" w:rsidRDefault="000757A0" w:rsidP="000757A0">
      <w:pPr>
        <w:jc w:val="both"/>
        <w:rPr>
          <w:rFonts w:ascii="Arial" w:hAnsi="Arial" w:cs="Arial"/>
          <w:sz w:val="24"/>
        </w:rPr>
      </w:pPr>
      <w:r w:rsidRPr="000213CF">
        <w:rPr>
          <w:rFonts w:ascii="Arial" w:hAnsi="Arial" w:cs="Arial"/>
          <w:sz w:val="24"/>
        </w:rPr>
        <w:t>Al ser así, un colectivo de facto como el promotor del presente juicio de amparo, puede válidamente ser reconocido como defensor de derechos humanos en la dimensión individual de las personas que lo componen; y erigirse como interesado legítimamente para velar por el respeto a los derechos fundamentales que pudieran ser vulnerados por un decreto como el reclamado, en el cual se otorgan a las fuerzas armadas funciones de seguridad pública y protección ciudadana.</w:t>
      </w:r>
    </w:p>
    <w:p w14:paraId="1B86CB9E" w14:textId="77777777" w:rsidR="000757A0" w:rsidRPr="000213CF" w:rsidRDefault="000757A0" w:rsidP="000757A0">
      <w:pPr>
        <w:jc w:val="both"/>
        <w:rPr>
          <w:rFonts w:ascii="Arial" w:hAnsi="Arial" w:cs="Arial"/>
          <w:sz w:val="28"/>
        </w:rPr>
      </w:pPr>
      <w:r w:rsidRPr="000213CF">
        <w:rPr>
          <w:rFonts w:ascii="Arial" w:hAnsi="Arial" w:cs="Arial"/>
          <w:sz w:val="24"/>
        </w:rPr>
        <w:t xml:space="preserve">En estrecha relación con lo anterior, la Primera Sala de la Suprema Corte de Justicia de la Nación, ha sostenido que un tipo de normas </w:t>
      </w:r>
      <w:proofErr w:type="spellStart"/>
      <w:r w:rsidRPr="000213CF">
        <w:rPr>
          <w:rFonts w:ascii="Arial" w:hAnsi="Arial" w:cs="Arial"/>
          <w:sz w:val="24"/>
        </w:rPr>
        <w:t>autoaplicativas</w:t>
      </w:r>
      <w:proofErr w:type="spellEnd"/>
      <w:r w:rsidRPr="000213CF">
        <w:rPr>
          <w:rFonts w:ascii="Arial" w:hAnsi="Arial" w:cs="Arial"/>
          <w:sz w:val="24"/>
        </w:rPr>
        <w:t xml:space="preserve">, corresponde a aquellas </w:t>
      </w:r>
      <w:r w:rsidRPr="000213CF">
        <w:rPr>
          <w:rFonts w:ascii="Arial" w:hAnsi="Arial" w:cs="Arial"/>
          <w:sz w:val="24"/>
        </w:rPr>
        <w:lastRenderedPageBreak/>
        <w:t>que se erigen como barreras de acceso al debate público o que inhiben la propia deliberación pública, entendiendo que las condiciones normativas para la generación óptima de esta última se encuentran constitucionalmente protegidas, en tanto que son condiciones de existencia de un espacio público sin el cual un gobierno democrático de naturaleza deliberativa no sería posible.</w:t>
      </w:r>
    </w:p>
    <w:p w14:paraId="1D3E3202" w14:textId="77777777" w:rsidR="000757A0" w:rsidRPr="000213CF" w:rsidRDefault="000757A0" w:rsidP="000757A0">
      <w:pPr>
        <w:jc w:val="both"/>
        <w:rPr>
          <w:rFonts w:ascii="Arial" w:hAnsi="Arial" w:cs="Arial"/>
          <w:sz w:val="24"/>
        </w:rPr>
      </w:pPr>
      <w:r w:rsidRPr="000213CF">
        <w:rPr>
          <w:rFonts w:ascii="Arial" w:hAnsi="Arial" w:cs="Arial"/>
          <w:sz w:val="24"/>
        </w:rPr>
        <w:t>Explicó la Primera Sala que la afectación que producen ese tipo de normas no es generada por su parte valorativa, sino por sus repercusiones sobre la apropiada preservación de canales de expresión e intercambio de ideas que deben mantenerse abiertos, por ejemplo, estableciendo impedimentos, requisitos u obligaciones, aún de abstención, que obstaculicen el desenvolvimiento de las personas en el debate público, especialmente cuando se refieran al discurso político o a quienes se dedican a informar. Ante ese tipo de normas -sostuvo la Primera Sala- lo relevante para el juzgador no es determinar si la norma impugnada trasciende en la esfera jurídica del quejoso desde la perspectiva de los actos de aplicación requeridos para su materialización, sino la afectación generada a los canales de deliberación pública.</w:t>
      </w:r>
      <w:r w:rsidRPr="000213CF">
        <w:rPr>
          <w:rStyle w:val="Refdenotaalpie"/>
          <w:rFonts w:ascii="Arial" w:hAnsi="Arial" w:cs="Arial"/>
          <w:sz w:val="24"/>
        </w:rPr>
        <w:footnoteReference w:id="29"/>
      </w:r>
    </w:p>
    <w:p w14:paraId="761146BF" w14:textId="7249C4BB" w:rsidR="000757A0" w:rsidRPr="000213CF" w:rsidRDefault="000757A0" w:rsidP="000757A0">
      <w:pPr>
        <w:jc w:val="both"/>
        <w:rPr>
          <w:rFonts w:ascii="Arial" w:hAnsi="Arial" w:cs="Arial"/>
          <w:sz w:val="24"/>
        </w:rPr>
      </w:pPr>
      <w:r w:rsidRPr="000213CF">
        <w:rPr>
          <w:rFonts w:ascii="Arial" w:hAnsi="Arial" w:cs="Arial"/>
          <w:sz w:val="24"/>
        </w:rPr>
        <w:t xml:space="preserve">Tales motivos resultan aplicables en forma análoga al caso, pues al igual que aquéllas que limitan el debate público, las ahora reclamadas son susceptibles de incidir de manera indirecta en el natural desenvolvimiento de la ciudadanía en su vida cotidiana, al encontrarse vigilada o bajo la supervisión de una Fuerza Armada que originalmente no habría sido concebida para tales efecto; afectación y efectos que produce sobre el ambiente social, que son susceptibles de ser sometidas a la jurisdicción constitucional por personas defensoras de derechos humanos. De ahí que </w:t>
      </w:r>
      <w:r w:rsidR="00531920">
        <w:rPr>
          <w:rFonts w:ascii="Arial" w:hAnsi="Arial" w:cs="Arial"/>
          <w:sz w:val="24"/>
        </w:rPr>
        <w:t>los aquí quejosos contamos</w:t>
      </w:r>
      <w:r w:rsidRPr="000213CF">
        <w:rPr>
          <w:rFonts w:ascii="Arial" w:hAnsi="Arial" w:cs="Arial"/>
          <w:sz w:val="24"/>
        </w:rPr>
        <w:t xml:space="preserve"> con interés legítimo para tales efectos.</w:t>
      </w:r>
    </w:p>
    <w:p w14:paraId="2F4548D8" w14:textId="6093D140" w:rsidR="00EC645F" w:rsidRPr="00284A6C" w:rsidRDefault="00EC645F" w:rsidP="00EC645F">
      <w:pPr>
        <w:spacing w:after="0" w:line="240" w:lineRule="auto"/>
        <w:ind w:firstLine="547"/>
        <w:jc w:val="both"/>
        <w:rPr>
          <w:rFonts w:ascii="Arial" w:hAnsi="Arial" w:cs="Arial"/>
          <w:sz w:val="24"/>
          <w:szCs w:val="24"/>
        </w:rPr>
      </w:pPr>
      <w:r w:rsidRPr="00284A6C">
        <w:rPr>
          <w:rFonts w:ascii="Arial" w:hAnsi="Arial" w:cs="Arial"/>
          <w:sz w:val="24"/>
        </w:rPr>
        <w:t xml:space="preserve">Añadimos a lo anterior, respecto del interés </w:t>
      </w:r>
      <w:r w:rsidR="00CC1C4A" w:rsidRPr="00284A6C">
        <w:rPr>
          <w:rFonts w:ascii="Arial" w:hAnsi="Arial" w:cs="Arial"/>
          <w:sz w:val="24"/>
        </w:rPr>
        <w:t>legítimo</w:t>
      </w:r>
      <w:r w:rsidRPr="00284A6C">
        <w:rPr>
          <w:rFonts w:ascii="Arial" w:hAnsi="Arial" w:cs="Arial"/>
          <w:sz w:val="24"/>
        </w:rPr>
        <w:t xml:space="preserve"> que </w:t>
      </w:r>
      <w:r w:rsidRPr="00284A6C">
        <w:rPr>
          <w:rFonts w:ascii="Arial" w:hAnsi="Arial" w:cs="Arial"/>
          <w:sz w:val="24"/>
          <w:szCs w:val="24"/>
        </w:rPr>
        <w:t>la Primera Sala, al resolver el amparo en revisión 492/2014</w:t>
      </w:r>
      <w:r w:rsidRPr="00284A6C">
        <w:rPr>
          <w:rStyle w:val="Refdenotaalpie"/>
          <w:rFonts w:ascii="Arial" w:hAnsi="Arial" w:cs="Arial"/>
          <w:sz w:val="24"/>
        </w:rPr>
        <w:footnoteReference w:id="30"/>
      </w:r>
      <w:r w:rsidRPr="00284A6C">
        <w:rPr>
          <w:rFonts w:ascii="Arial" w:hAnsi="Arial" w:cs="Arial"/>
          <w:sz w:val="24"/>
          <w:szCs w:val="24"/>
        </w:rPr>
        <w:t xml:space="preserve">, retomó las consideraciones del amparo en revisión 152/2013, y estableció que las personas pueden combatir las leyes de las que no sean destinatarias cuando resientan una afectación jurídicamente relevante. Así, las normas </w:t>
      </w:r>
      <w:proofErr w:type="spellStart"/>
      <w:r w:rsidRPr="00284A6C">
        <w:rPr>
          <w:rFonts w:ascii="Arial" w:hAnsi="Arial" w:cs="Arial"/>
          <w:sz w:val="24"/>
          <w:szCs w:val="24"/>
        </w:rPr>
        <w:t>autoaplicativas</w:t>
      </w:r>
      <w:proofErr w:type="spellEnd"/>
      <w:r w:rsidRPr="00284A6C">
        <w:rPr>
          <w:rFonts w:ascii="Arial" w:hAnsi="Arial" w:cs="Arial"/>
          <w:sz w:val="24"/>
          <w:szCs w:val="24"/>
        </w:rPr>
        <w:t>, en el contexto del interés legítimo, sí requieren de una afectación personal, pero no directa, sino indirecta, la cual puede suceder en tres escenarios distintos:</w:t>
      </w:r>
    </w:p>
    <w:p w14:paraId="10084304" w14:textId="77777777" w:rsidR="00EC645F" w:rsidRPr="00284A6C" w:rsidRDefault="00EC645F" w:rsidP="00EC645F">
      <w:pPr>
        <w:spacing w:after="0" w:line="240" w:lineRule="auto"/>
        <w:ind w:firstLine="547"/>
        <w:jc w:val="both"/>
        <w:rPr>
          <w:rFonts w:ascii="Arial" w:hAnsi="Arial" w:cs="Arial"/>
          <w:bCs/>
          <w:i/>
          <w:sz w:val="24"/>
          <w:szCs w:val="24"/>
        </w:rPr>
      </w:pPr>
    </w:p>
    <w:p w14:paraId="27FF9AF0" w14:textId="77777777" w:rsidR="00EC645F" w:rsidRPr="00284A6C" w:rsidRDefault="00EC645F" w:rsidP="00EC645F">
      <w:pPr>
        <w:spacing w:after="0" w:line="240" w:lineRule="auto"/>
        <w:ind w:firstLine="547"/>
        <w:jc w:val="both"/>
        <w:rPr>
          <w:rFonts w:ascii="Arial" w:hAnsi="Arial" w:cs="Arial"/>
          <w:sz w:val="24"/>
          <w:szCs w:val="24"/>
        </w:rPr>
      </w:pPr>
      <w:r w:rsidRPr="00284A6C">
        <w:rPr>
          <w:rFonts w:ascii="Arial" w:hAnsi="Arial" w:cs="Arial"/>
          <w:sz w:val="24"/>
          <w:szCs w:val="24"/>
        </w:rPr>
        <w:t xml:space="preserve">a) Cuando una ley establezca directamente obligaciones de hacer o no hacer a un tercero, sin la necesidad de un acto de aplicación, que impacte colateralmente al quejoso –no destinatario de las obligaciones– en un grado suficiente para afirmar que genera una afectación jurídicamente relevante; b) Cuando la ley establezca hipótesis normativas que no están llamados a actualizar los quejosos como destinatarios de la norma, sino terceros de manera inmediata sin la necesidad de un acto de aplicación, </w:t>
      </w:r>
      <w:r w:rsidRPr="00284A6C">
        <w:rPr>
          <w:rFonts w:ascii="Arial" w:hAnsi="Arial" w:cs="Arial"/>
          <w:sz w:val="24"/>
          <w:szCs w:val="24"/>
        </w:rPr>
        <w:lastRenderedPageBreak/>
        <w:t>pero que, por su posición frente al ordenamiento jurídico, los quejosos resentirán algunos efectos de las consecuencias asociadas a esa hipótesis normativa de forma colateral; y/o,</w:t>
      </w:r>
    </w:p>
    <w:p w14:paraId="13E7C2A8" w14:textId="77777777" w:rsidR="00EC645F" w:rsidRPr="00284A6C" w:rsidRDefault="00EC645F" w:rsidP="00EC645F">
      <w:pPr>
        <w:spacing w:after="0" w:line="240" w:lineRule="auto"/>
        <w:ind w:firstLine="547"/>
        <w:jc w:val="both"/>
        <w:rPr>
          <w:rFonts w:ascii="Arial" w:hAnsi="Arial" w:cs="Arial"/>
          <w:bCs/>
          <w:i/>
          <w:sz w:val="24"/>
          <w:szCs w:val="24"/>
        </w:rPr>
      </w:pPr>
    </w:p>
    <w:p w14:paraId="3D2355DD" w14:textId="77777777" w:rsidR="00EC645F" w:rsidRPr="00284A6C" w:rsidRDefault="00EC645F" w:rsidP="00EC645F">
      <w:pPr>
        <w:spacing w:after="0" w:line="240" w:lineRule="auto"/>
        <w:ind w:firstLine="547"/>
        <w:jc w:val="both"/>
        <w:rPr>
          <w:rFonts w:ascii="Arial" w:hAnsi="Arial" w:cs="Arial"/>
          <w:sz w:val="24"/>
          <w:szCs w:val="24"/>
        </w:rPr>
      </w:pPr>
      <w:r w:rsidRPr="00284A6C">
        <w:rPr>
          <w:rFonts w:ascii="Arial" w:hAnsi="Arial" w:cs="Arial"/>
          <w:sz w:val="24"/>
          <w:szCs w:val="24"/>
        </w:rPr>
        <w:t>c) Cuando la ley regule algún ámbito material e, independientemente de la naturaleza de las obligaciones establecidas a sus destinatarios directos, su contenido genere de manera inmediata la afectación jurídicamente relevante.</w:t>
      </w:r>
    </w:p>
    <w:p w14:paraId="0FA1C6EB" w14:textId="77777777" w:rsidR="00EC645F" w:rsidRPr="00284A6C" w:rsidRDefault="00EC645F" w:rsidP="00EC645F">
      <w:pPr>
        <w:spacing w:after="0" w:line="240" w:lineRule="auto"/>
        <w:ind w:firstLine="547"/>
        <w:jc w:val="both"/>
        <w:rPr>
          <w:rFonts w:ascii="Arial" w:hAnsi="Arial" w:cs="Arial"/>
          <w:sz w:val="24"/>
          <w:szCs w:val="24"/>
        </w:rPr>
      </w:pPr>
    </w:p>
    <w:p w14:paraId="4C58F1B9" w14:textId="77777777" w:rsidR="00EC645F" w:rsidRPr="00284A6C" w:rsidRDefault="00EC645F" w:rsidP="00EC645F">
      <w:pPr>
        <w:spacing w:after="0" w:line="240" w:lineRule="auto"/>
        <w:ind w:firstLine="547"/>
        <w:jc w:val="both"/>
        <w:rPr>
          <w:rFonts w:ascii="Arial" w:hAnsi="Arial" w:cs="Arial"/>
          <w:sz w:val="24"/>
          <w:szCs w:val="24"/>
        </w:rPr>
      </w:pPr>
      <w:r w:rsidRPr="00284A6C">
        <w:rPr>
          <w:rFonts w:ascii="Arial" w:hAnsi="Arial" w:cs="Arial"/>
          <w:sz w:val="24"/>
          <w:szCs w:val="24"/>
        </w:rPr>
        <w:t xml:space="preserve">Finalmente, en dicho amparo en revisión la Primera Sala exploró el tema del interés legítimo de manera progresiva y estableció una segunda categoría de casos en los que ciertas normas –que por su contenido normativo serían </w:t>
      </w:r>
      <w:proofErr w:type="spellStart"/>
      <w:r w:rsidRPr="00284A6C">
        <w:rPr>
          <w:rFonts w:ascii="Arial" w:hAnsi="Arial" w:cs="Arial"/>
          <w:sz w:val="24"/>
          <w:szCs w:val="24"/>
        </w:rPr>
        <w:t>heteroaplicativas</w:t>
      </w:r>
      <w:proofErr w:type="spellEnd"/>
      <w:r w:rsidRPr="00284A6C">
        <w:rPr>
          <w:rFonts w:ascii="Arial" w:hAnsi="Arial" w:cs="Arial"/>
          <w:sz w:val="24"/>
          <w:szCs w:val="24"/>
        </w:rPr>
        <w:t xml:space="preserve">— puedan resultar </w:t>
      </w:r>
      <w:proofErr w:type="spellStart"/>
      <w:r w:rsidRPr="00284A6C">
        <w:rPr>
          <w:rFonts w:ascii="Arial" w:hAnsi="Arial" w:cs="Arial"/>
          <w:sz w:val="24"/>
          <w:szCs w:val="24"/>
        </w:rPr>
        <w:t>autoaplicativas</w:t>
      </w:r>
      <w:proofErr w:type="spellEnd"/>
      <w:r w:rsidRPr="00284A6C">
        <w:rPr>
          <w:rFonts w:ascii="Arial" w:hAnsi="Arial" w:cs="Arial"/>
          <w:sz w:val="24"/>
          <w:szCs w:val="24"/>
        </w:rPr>
        <w:t xml:space="preserve"> por su sola existencia desde la perspectiva del interés legítimo, al poder generar una afectación real, concreta, frente aquellos preceptos acusados de imponer barreras ex ante al debate público o que resultan inhibidoras de la deliberación pública, entendiendo que las condiciones normativas que permiten la generación óptima de la deliberación están protegidas constitucionalmente, pues son condiciones de existencia de un espacio público, sin el cual el gobierno democrático de naturaleza deliberativa –como está consagrado en los artículos 39 y 40 constitucionales— no sería posible.</w:t>
      </w:r>
    </w:p>
    <w:p w14:paraId="0B3E2392" w14:textId="77777777" w:rsidR="00EC645F" w:rsidRPr="00284A6C" w:rsidRDefault="00EC645F" w:rsidP="00EC645F">
      <w:pPr>
        <w:spacing w:after="0" w:line="240" w:lineRule="auto"/>
        <w:ind w:firstLine="547"/>
        <w:jc w:val="both"/>
        <w:rPr>
          <w:rFonts w:ascii="Arial" w:hAnsi="Arial" w:cs="Arial"/>
          <w:sz w:val="24"/>
          <w:szCs w:val="24"/>
        </w:rPr>
      </w:pPr>
    </w:p>
    <w:p w14:paraId="69E757F3" w14:textId="2BDFC13E" w:rsidR="00EC645F" w:rsidRPr="00284A6C" w:rsidRDefault="00EC645F" w:rsidP="00EC645F">
      <w:pPr>
        <w:spacing w:after="0" w:line="240" w:lineRule="auto"/>
        <w:ind w:firstLine="547"/>
        <w:jc w:val="both"/>
        <w:rPr>
          <w:rFonts w:ascii="Arial" w:hAnsi="Arial" w:cs="Arial"/>
          <w:sz w:val="24"/>
          <w:szCs w:val="24"/>
        </w:rPr>
      </w:pPr>
      <w:r w:rsidRPr="00284A6C">
        <w:rPr>
          <w:rFonts w:ascii="Arial" w:hAnsi="Arial" w:cs="Arial"/>
          <w:sz w:val="24"/>
          <w:szCs w:val="24"/>
        </w:rPr>
        <w:t>En el caso, los quejosos aducimos tener in</w:t>
      </w:r>
      <w:r w:rsidR="00CC1C4A" w:rsidRPr="00284A6C">
        <w:rPr>
          <w:rFonts w:ascii="Arial" w:hAnsi="Arial" w:cs="Arial"/>
          <w:sz w:val="24"/>
          <w:szCs w:val="24"/>
        </w:rPr>
        <w:t>terés legítimo para impugnar las normas generales señaladas en capítulo relativo</w:t>
      </w:r>
      <w:r w:rsidRPr="00284A6C">
        <w:rPr>
          <w:rFonts w:ascii="Arial" w:hAnsi="Arial" w:cs="Arial"/>
          <w:sz w:val="24"/>
          <w:szCs w:val="24"/>
        </w:rPr>
        <w:t>, pues referimos que dicho ordenamiento produce un efecto amedrentador sobre los derechos fundamentales de libre manifestación de ideas, expresión, reunión y tránsito, contemplados en la Constitucional.</w:t>
      </w:r>
    </w:p>
    <w:p w14:paraId="6B260328" w14:textId="77777777" w:rsidR="00EC645F" w:rsidRPr="00284A6C" w:rsidRDefault="00EC645F" w:rsidP="00EC645F">
      <w:pPr>
        <w:spacing w:after="0" w:line="240" w:lineRule="auto"/>
        <w:ind w:firstLine="547"/>
        <w:jc w:val="both"/>
        <w:rPr>
          <w:rFonts w:ascii="Arial" w:hAnsi="Arial" w:cs="Arial"/>
          <w:sz w:val="24"/>
          <w:szCs w:val="24"/>
        </w:rPr>
      </w:pPr>
    </w:p>
    <w:p w14:paraId="2C53F55E" w14:textId="77777777" w:rsidR="00EC645F" w:rsidRPr="00284A6C" w:rsidRDefault="00EC645F" w:rsidP="00EC645F">
      <w:pPr>
        <w:spacing w:after="0" w:line="240" w:lineRule="auto"/>
        <w:ind w:firstLine="547"/>
        <w:jc w:val="both"/>
        <w:rPr>
          <w:rFonts w:ascii="Arial" w:hAnsi="Arial" w:cs="Arial"/>
          <w:sz w:val="24"/>
          <w:szCs w:val="24"/>
        </w:rPr>
      </w:pPr>
      <w:r w:rsidRPr="00284A6C">
        <w:rPr>
          <w:rFonts w:ascii="Arial" w:hAnsi="Arial" w:cs="Arial"/>
          <w:sz w:val="24"/>
          <w:szCs w:val="24"/>
        </w:rPr>
        <w:t xml:space="preserve">En ese contexto, se actualizaría el inciso b) de los supuestos posibles, tratándose de afectaciones con motivo de una norma autoaplicativa, pues la norma impugnada contiene hipótesis que no están llamados a actualizar los quejosos directamente; no obstante, dicha norma generaría, </w:t>
      </w:r>
      <w:r w:rsidRPr="00284A6C">
        <w:rPr>
          <w:rFonts w:ascii="Arial" w:hAnsi="Arial" w:cs="Arial"/>
          <w:i/>
          <w:sz w:val="24"/>
          <w:szCs w:val="24"/>
        </w:rPr>
        <w:t>prima facie</w:t>
      </w:r>
      <w:r w:rsidRPr="00284A6C">
        <w:rPr>
          <w:rFonts w:ascii="Arial" w:hAnsi="Arial" w:cs="Arial"/>
          <w:sz w:val="24"/>
          <w:szCs w:val="24"/>
        </w:rPr>
        <w:t xml:space="preserve">, una clase especial de afectación, que correría de manera paralela a tales obligaciones (contenidos que pueden calificarse como </w:t>
      </w:r>
      <w:proofErr w:type="spellStart"/>
      <w:r w:rsidRPr="00284A6C">
        <w:rPr>
          <w:rFonts w:ascii="Arial" w:hAnsi="Arial" w:cs="Arial"/>
          <w:sz w:val="24"/>
          <w:szCs w:val="24"/>
        </w:rPr>
        <w:t>autoaplicativos</w:t>
      </w:r>
      <w:proofErr w:type="spellEnd"/>
      <w:r w:rsidRPr="00284A6C">
        <w:rPr>
          <w:rFonts w:ascii="Arial" w:hAnsi="Arial" w:cs="Arial"/>
          <w:sz w:val="24"/>
          <w:szCs w:val="24"/>
        </w:rPr>
        <w:t>) y que afectaría directamente a los quejosos como terceros: el efecto amedrentador para ejercer los derechos de vida, libertad, integridad personal, seguridad, libre manifestación de ideas, expresión, reunión y tránsito, la cual, de comprobarse, sería incondicionada.</w:t>
      </w:r>
    </w:p>
    <w:p w14:paraId="2BF8D6EA" w14:textId="77777777" w:rsidR="00EC645F" w:rsidRPr="00284A6C" w:rsidRDefault="00EC645F" w:rsidP="00EC645F">
      <w:pPr>
        <w:spacing w:after="0" w:line="240" w:lineRule="auto"/>
        <w:ind w:firstLine="547"/>
        <w:jc w:val="both"/>
        <w:rPr>
          <w:rFonts w:ascii="Arial" w:hAnsi="Arial" w:cs="Arial"/>
          <w:sz w:val="24"/>
          <w:szCs w:val="24"/>
        </w:rPr>
      </w:pPr>
    </w:p>
    <w:p w14:paraId="04599897" w14:textId="45B96F9A" w:rsidR="00EC645F" w:rsidRPr="00284A6C" w:rsidRDefault="00EC645F" w:rsidP="00EC645F">
      <w:pPr>
        <w:spacing w:after="0" w:line="240" w:lineRule="auto"/>
        <w:ind w:firstLine="547"/>
        <w:jc w:val="both"/>
        <w:rPr>
          <w:rFonts w:ascii="Arial" w:hAnsi="Arial" w:cs="Arial"/>
          <w:sz w:val="24"/>
          <w:szCs w:val="24"/>
        </w:rPr>
      </w:pPr>
      <w:r w:rsidRPr="00284A6C">
        <w:rPr>
          <w:rFonts w:ascii="Arial" w:hAnsi="Arial" w:cs="Arial"/>
          <w:sz w:val="24"/>
          <w:szCs w:val="24"/>
        </w:rPr>
        <w:t xml:space="preserve">Por ello, la sola entrada en vigor de las normas impugnadas, sí afecta y condiciona conductas inherentes a la actividad de los quejosos, dado que </w:t>
      </w:r>
      <w:r w:rsidR="002767D2">
        <w:rPr>
          <w:rFonts w:ascii="Arial" w:hAnsi="Arial" w:cs="Arial"/>
          <w:sz w:val="24"/>
          <w:szCs w:val="24"/>
        </w:rPr>
        <w:t>los quejosos</w:t>
      </w:r>
      <w:r w:rsidRPr="00284A6C">
        <w:rPr>
          <w:rFonts w:ascii="Arial" w:hAnsi="Arial" w:cs="Arial"/>
          <w:sz w:val="24"/>
          <w:szCs w:val="24"/>
        </w:rPr>
        <w:t>, difunden opiniones, información e ideas por varios medios, presen</w:t>
      </w:r>
      <w:r w:rsidR="00341B07" w:rsidRPr="00284A6C">
        <w:rPr>
          <w:rFonts w:ascii="Arial" w:hAnsi="Arial" w:cs="Arial"/>
          <w:sz w:val="24"/>
          <w:szCs w:val="24"/>
        </w:rPr>
        <w:t xml:space="preserve">tan peticiones en dependencias, </w:t>
      </w:r>
      <w:r w:rsidRPr="00284A6C">
        <w:rPr>
          <w:rFonts w:ascii="Arial" w:hAnsi="Arial" w:cs="Arial"/>
          <w:sz w:val="24"/>
          <w:szCs w:val="24"/>
        </w:rPr>
        <w:t>se reúnen pacíficamente, se desplazan librement</w:t>
      </w:r>
      <w:r w:rsidR="002767D2">
        <w:rPr>
          <w:rFonts w:ascii="Arial" w:hAnsi="Arial" w:cs="Arial"/>
          <w:sz w:val="24"/>
          <w:szCs w:val="24"/>
        </w:rPr>
        <w:t xml:space="preserve">e por la república, interponen </w:t>
      </w:r>
      <w:r w:rsidRPr="00284A6C">
        <w:rPr>
          <w:rFonts w:ascii="Arial" w:hAnsi="Arial" w:cs="Arial"/>
          <w:sz w:val="24"/>
          <w:szCs w:val="24"/>
        </w:rPr>
        <w:t xml:space="preserve">juicios de amparo, </w:t>
      </w:r>
      <w:r w:rsidR="002767D2">
        <w:rPr>
          <w:rFonts w:ascii="Arial" w:hAnsi="Arial" w:cs="Arial"/>
          <w:sz w:val="24"/>
          <w:szCs w:val="24"/>
        </w:rPr>
        <w:t>ya que pertenecemos</w:t>
      </w:r>
      <w:r w:rsidRPr="00284A6C">
        <w:rPr>
          <w:rFonts w:ascii="Arial" w:hAnsi="Arial" w:cs="Arial"/>
          <w:sz w:val="24"/>
          <w:szCs w:val="24"/>
        </w:rPr>
        <w:t xml:space="preserve"> al grupo FRENA (Frente Nacional Ciudadano), mediante el cual </w:t>
      </w:r>
      <w:r w:rsidR="002767D2">
        <w:rPr>
          <w:rFonts w:ascii="Arial" w:hAnsi="Arial" w:cs="Arial"/>
          <w:sz w:val="24"/>
          <w:szCs w:val="24"/>
        </w:rPr>
        <w:t>nos manifestamos</w:t>
      </w:r>
      <w:r w:rsidRPr="00284A6C">
        <w:rPr>
          <w:rFonts w:ascii="Arial" w:hAnsi="Arial" w:cs="Arial"/>
          <w:sz w:val="24"/>
          <w:szCs w:val="24"/>
        </w:rPr>
        <w:t xml:space="preserve"> de manera pacífica contra las acciones que consideran de abuso de poder del Ejecutivo Federal.</w:t>
      </w:r>
    </w:p>
    <w:p w14:paraId="7C3F9A90" w14:textId="77777777" w:rsidR="00EC645F" w:rsidRPr="006779B1" w:rsidRDefault="00EC645F" w:rsidP="00EC645F">
      <w:pPr>
        <w:spacing w:after="0" w:line="240" w:lineRule="auto"/>
        <w:ind w:firstLine="547"/>
        <w:jc w:val="both"/>
        <w:rPr>
          <w:rFonts w:ascii="Ebrima" w:hAnsi="Ebrima"/>
          <w:sz w:val="24"/>
          <w:szCs w:val="24"/>
        </w:rPr>
      </w:pPr>
    </w:p>
    <w:p w14:paraId="2F1991FB"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 xml:space="preserve">Así, en lo que respecta a este caso, el hecho de que los derechos ya antes citados, son reconocidos en la Constitución General en beneficio de todas las personas que se encuentran dentro del territorio nacional, ya que los citados derechos en juego por su grado difuso de aplicación en el país (dimensión colectiva o social de tales libertades, que redundan en el sistema democrático y en el goce de los demás derechos fundamentales), habilitan a los habitantes del país o gobernados a impugnar tal tipo de norma autoaplicativa porque con su sola vigencia inciden de manera inmediata y directa, en el nivel de disfrute de estas libertades, confirmadas desde la primera generación de los derechos humanos, como elementos mínimos, de una sociedad en tiempos de paz, por regla general no requiere de la presencia de las fuerzas armadas, en tareas ordinarias o propiamente civiles, como la seguridad interior, por lo que con independencia de la constitucionalidad de tal norma general reclamada, si impacta en el interés legítimo de los gobernados, al irradiar de manera paralela en el margen de libertades disponibles o su limitación obvia y patente, ante la instrucción precisa del ejecutivo federal, de disponer de la fuerza armada en forma permanente en tareas de seguridad pública que ahí se precisan, pues con independencia del momento de su ejecución ante eventos específicos futuros o fortuitos, ya existe la obligación jurídica de que opere el uso de la fuerza armada en tareas de seguridad pública interior, sin necesidad de un acto posterior dado que la disponibilidad de dicha milicia ya está habilitada en el territorio nacional, en los términos del propio acuerdo (no confundir los </w:t>
      </w:r>
      <w:r w:rsidRPr="002767D2">
        <w:rPr>
          <w:rFonts w:ascii="Arial" w:hAnsi="Arial" w:cs="Arial"/>
          <w:sz w:val="24"/>
          <w:szCs w:val="24"/>
        </w:rPr>
        <w:lastRenderedPageBreak/>
        <w:t>distintitos momentos de aplicación de dicha norma, con la facultad ineludible en el territorio nacional para ser utilizada en materia de seguridad interior); y, por ende, están en posibilidad de impugnar una disposición normativa o acto que a su juicio transgrede alguno de esos derechos, no implica por ese solo hecho que quien efectivamente promueva un juicio de amparo en defensa de sus derechos carezca de interés legítimo por no encontrarse en una situación diferenciada de un sinnúmero de personas que también podrían promover un juicio de amparo en términos similares.</w:t>
      </w:r>
    </w:p>
    <w:p w14:paraId="030213D8" w14:textId="77777777" w:rsidR="00EC645F" w:rsidRPr="002767D2" w:rsidRDefault="00EC645F" w:rsidP="00EC645F">
      <w:pPr>
        <w:spacing w:after="0" w:line="240" w:lineRule="auto"/>
        <w:ind w:firstLine="547"/>
        <w:jc w:val="both"/>
        <w:rPr>
          <w:rFonts w:ascii="Arial" w:hAnsi="Arial" w:cs="Arial"/>
          <w:sz w:val="24"/>
          <w:szCs w:val="24"/>
        </w:rPr>
      </w:pPr>
    </w:p>
    <w:p w14:paraId="01BFE7CA"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Para entender lo anterior, es importante destacar que el Pleno de la Suprema Corte estableció que los derechos de libre expresión de ideas y de comunicación y acceso a la información son indispensables para la formación de la opinión pública, el cual es un componente necesario para el funcionamiento de una democracia representativa.</w:t>
      </w:r>
    </w:p>
    <w:p w14:paraId="3A2BEB34" w14:textId="77777777" w:rsidR="00EC645F" w:rsidRPr="002767D2" w:rsidRDefault="00EC645F" w:rsidP="00EC645F">
      <w:pPr>
        <w:spacing w:after="0" w:line="240" w:lineRule="auto"/>
        <w:ind w:firstLine="547"/>
        <w:jc w:val="both"/>
        <w:rPr>
          <w:rFonts w:ascii="Arial" w:hAnsi="Arial" w:cs="Arial"/>
          <w:sz w:val="24"/>
          <w:szCs w:val="24"/>
        </w:rPr>
      </w:pPr>
    </w:p>
    <w:p w14:paraId="41EB0AEB"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Apoya lo anterior la Jurisprudencia P</w:t>
      </w:r>
      <w:proofErr w:type="gramStart"/>
      <w:r w:rsidRPr="002767D2">
        <w:rPr>
          <w:rFonts w:ascii="Arial" w:hAnsi="Arial" w:cs="Arial"/>
          <w:sz w:val="24"/>
          <w:szCs w:val="24"/>
        </w:rPr>
        <w:t>./</w:t>
      </w:r>
      <w:proofErr w:type="gramEnd"/>
      <w:r w:rsidRPr="002767D2">
        <w:rPr>
          <w:rFonts w:ascii="Arial" w:hAnsi="Arial" w:cs="Arial"/>
          <w:sz w:val="24"/>
          <w:szCs w:val="24"/>
        </w:rPr>
        <w:t>J. 24/2007, Semanario Judicial de la Federación y su Gaceta, Novena Época, Tomo XXV, mayo de 2007, página 1522, de rubro y texto:</w:t>
      </w:r>
    </w:p>
    <w:p w14:paraId="710EB42E" w14:textId="77777777" w:rsidR="00EC645F" w:rsidRPr="002767D2" w:rsidRDefault="00EC645F" w:rsidP="00EC645F">
      <w:pPr>
        <w:spacing w:after="0" w:line="240" w:lineRule="auto"/>
        <w:ind w:firstLine="547"/>
        <w:jc w:val="both"/>
        <w:rPr>
          <w:rFonts w:ascii="Arial" w:hAnsi="Arial" w:cs="Arial"/>
          <w:sz w:val="24"/>
          <w:szCs w:val="24"/>
        </w:rPr>
      </w:pPr>
    </w:p>
    <w:p w14:paraId="5C234E9B" w14:textId="77777777" w:rsidR="00EC645F" w:rsidRPr="00B21DB9" w:rsidRDefault="00EC645F" w:rsidP="00EC645F">
      <w:pPr>
        <w:spacing w:after="0" w:line="240" w:lineRule="auto"/>
        <w:ind w:left="547"/>
        <w:jc w:val="both"/>
        <w:rPr>
          <w:rFonts w:ascii="Arial" w:hAnsi="Arial" w:cs="Arial"/>
          <w:i/>
          <w:szCs w:val="24"/>
        </w:rPr>
      </w:pPr>
      <w:r w:rsidRPr="00B21DB9">
        <w:rPr>
          <w:rFonts w:ascii="Arial" w:hAnsi="Arial" w:cs="Arial"/>
          <w:szCs w:val="24"/>
        </w:rPr>
        <w:t>"</w:t>
      </w:r>
      <w:r w:rsidRPr="00B21DB9">
        <w:rPr>
          <w:rFonts w:ascii="Arial" w:hAnsi="Arial" w:cs="Arial"/>
          <w:b/>
          <w:i/>
          <w:szCs w:val="24"/>
        </w:rPr>
        <w:t>LIBERTAD DE EXPRESIÓN. LOS ARTÍCULOS 6o. Y 7o. DE LA CONSTITUCIÓN POLÍTICA DE LOS ESTADOS UNIDOS MEXICANOS ESTABLECEN DERECHOS FUNDAMENTALES DEL ESTADO DE DERECHO</w:t>
      </w:r>
      <w:r w:rsidRPr="00B21DB9">
        <w:rPr>
          <w:rFonts w:ascii="Arial" w:hAnsi="Arial" w:cs="Arial"/>
          <w:i/>
          <w:szCs w:val="24"/>
        </w:rPr>
        <w:t>. Los derechos fundamentales previstos en los preceptos constitucionales citados garantizan que: a) La manifestación de las ideas no sea objeto de inquisición judicial o administrativa, sino en el caso de que se ataque la moral, los derechos de tercero, se provoque algún delito o perturbe el orden público; b) El derecho a la información sea salvaguardado por el Estado; c) No se viole la libertad de escribir y publicar sobre cualquier materia; d) Ninguna ley ni autoridad establezcan censura, ni exijan fianza a los autores o impresores, ni coarten la libertad de imprenta; e) Los límites a la libertad de escribir y publicar sobre cualquier materia sean el respeto a la vida privada, a la moral y a la paz pública. En ese sentido, estos derechos fundamentales de libre expresión de ideas y de comunicación y acceso a la información son indispensables para la formación de la opinión pública, componente necesario para el funcionamiento de una democracia representativa."</w:t>
      </w:r>
    </w:p>
    <w:p w14:paraId="518B80ED" w14:textId="77777777" w:rsidR="00EC645F" w:rsidRPr="002767D2" w:rsidRDefault="00EC645F" w:rsidP="00EC645F">
      <w:pPr>
        <w:spacing w:after="0" w:line="240" w:lineRule="auto"/>
        <w:ind w:firstLine="547"/>
        <w:jc w:val="both"/>
        <w:rPr>
          <w:rFonts w:ascii="Arial" w:hAnsi="Arial" w:cs="Arial"/>
          <w:bCs/>
          <w:i/>
          <w:sz w:val="24"/>
          <w:szCs w:val="24"/>
        </w:rPr>
      </w:pPr>
    </w:p>
    <w:p w14:paraId="6FDDDE29"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A su vez, el Pleno sustentó que la protección individual (libertad de expresar el pensamiento propio, así como buscar, recibir y difundir informaciones e ideas de toda índole) y social (derecho a recibir cualquier información y a conocer la expresión del pensamiento ajeno) del derecho de libertad de expresión garantiza un intercambio de ideas e informaciones, que protege tanto la comunicación a otras personas de los propios puntos de vista como el derecho de conocer las opiniones, relatos y noticias que los demás difunden.</w:t>
      </w:r>
    </w:p>
    <w:p w14:paraId="2DA0B179" w14:textId="77777777" w:rsidR="00EC645F" w:rsidRPr="002767D2" w:rsidRDefault="00EC645F" w:rsidP="00EC645F">
      <w:pPr>
        <w:spacing w:after="0" w:line="240" w:lineRule="auto"/>
        <w:ind w:firstLine="547"/>
        <w:jc w:val="both"/>
        <w:rPr>
          <w:rFonts w:ascii="Arial" w:hAnsi="Arial" w:cs="Arial"/>
          <w:sz w:val="24"/>
          <w:szCs w:val="24"/>
        </w:rPr>
      </w:pPr>
    </w:p>
    <w:p w14:paraId="08C53C10"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Sustenta lo anterior la Jurisprudencia P</w:t>
      </w:r>
      <w:proofErr w:type="gramStart"/>
      <w:r w:rsidRPr="002767D2">
        <w:rPr>
          <w:rFonts w:ascii="Arial" w:hAnsi="Arial" w:cs="Arial"/>
          <w:sz w:val="24"/>
          <w:szCs w:val="24"/>
        </w:rPr>
        <w:t>./</w:t>
      </w:r>
      <w:proofErr w:type="gramEnd"/>
      <w:r w:rsidRPr="002767D2">
        <w:rPr>
          <w:rFonts w:ascii="Arial" w:hAnsi="Arial" w:cs="Arial"/>
          <w:sz w:val="24"/>
          <w:szCs w:val="24"/>
        </w:rPr>
        <w:t>J. 25/2007, Semanario Judicial de la Federación y su Gaceta, Novena Época, Tomo XXV, mayo de 2007, página 1520, que establece:</w:t>
      </w:r>
    </w:p>
    <w:p w14:paraId="119DE1C5" w14:textId="77777777" w:rsidR="00EC645F" w:rsidRPr="002767D2" w:rsidRDefault="00EC645F" w:rsidP="00EC645F">
      <w:pPr>
        <w:spacing w:after="0" w:line="240" w:lineRule="auto"/>
        <w:ind w:firstLine="547"/>
        <w:jc w:val="both"/>
        <w:rPr>
          <w:rFonts w:ascii="Arial" w:hAnsi="Arial" w:cs="Arial"/>
          <w:sz w:val="24"/>
          <w:szCs w:val="24"/>
        </w:rPr>
      </w:pPr>
    </w:p>
    <w:p w14:paraId="70EAFFA1" w14:textId="77777777" w:rsidR="00EC645F" w:rsidRPr="00B21DB9" w:rsidRDefault="00EC645F" w:rsidP="00EC645F">
      <w:pPr>
        <w:spacing w:after="0" w:line="240" w:lineRule="auto"/>
        <w:ind w:left="547"/>
        <w:jc w:val="both"/>
        <w:rPr>
          <w:rFonts w:ascii="Arial" w:hAnsi="Arial" w:cs="Arial"/>
          <w:i/>
          <w:szCs w:val="24"/>
        </w:rPr>
      </w:pPr>
      <w:r w:rsidRPr="00B21DB9">
        <w:rPr>
          <w:rFonts w:ascii="Arial" w:hAnsi="Arial" w:cs="Arial"/>
          <w:i/>
          <w:szCs w:val="24"/>
        </w:rPr>
        <w:t>"</w:t>
      </w:r>
      <w:r w:rsidRPr="00B21DB9">
        <w:rPr>
          <w:rFonts w:ascii="Arial" w:hAnsi="Arial" w:cs="Arial"/>
          <w:b/>
          <w:i/>
          <w:szCs w:val="24"/>
        </w:rPr>
        <w:t>LIBERTAD DE EXPRESIÓN. DIMENSIONES DE SU CONTENIDO.</w:t>
      </w:r>
      <w:r w:rsidRPr="00B21DB9">
        <w:rPr>
          <w:rFonts w:ascii="Arial" w:hAnsi="Arial" w:cs="Arial"/>
          <w:i/>
          <w:szCs w:val="24"/>
        </w:rPr>
        <w:t xml:space="preserve"> El derecho fundamental a la libertad de expresión comprende tanto la libertad de expresar el pensamiento propio (dimensión individual), como el derecho a buscar, recibir y difundir informaciones e ideas de toda índole. Así, al garantizarse la seguridad de no ser víctima de un menoscabo arbitrario en la capacidad para manifestar el pensamiento propio, la garantía de la libertad de expresión asegura el derecho a recibir cualquier información y a conocer la expresión del pensamiento ajeno, lo cual se asocia a la dimensión colectiva del ejercicio de este derecho. Esto es, la libertad de expresión garantiza un intercambio de ideas e informaciones que protege tanto la comunicación a otras personas de los propios puntos de vista como el derecho de conocer las opiniones, relatos y noticias que los demás difunden."</w:t>
      </w:r>
    </w:p>
    <w:p w14:paraId="025DC51E" w14:textId="77777777" w:rsidR="00EC645F" w:rsidRPr="002767D2" w:rsidRDefault="00EC645F" w:rsidP="00EC645F">
      <w:pPr>
        <w:spacing w:after="0" w:line="240" w:lineRule="auto"/>
        <w:ind w:firstLine="547"/>
        <w:jc w:val="both"/>
        <w:rPr>
          <w:rFonts w:ascii="Arial" w:hAnsi="Arial" w:cs="Arial"/>
          <w:bCs/>
          <w:i/>
          <w:sz w:val="24"/>
          <w:szCs w:val="24"/>
        </w:rPr>
      </w:pPr>
    </w:p>
    <w:p w14:paraId="625FCCAA"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Asimismo, la Primera Sala, sostuvo que el alcance del derecho de reunión radica en la posibilidad que tiene toda persona para congregarse lícita y pacíficamente con otras en un ámbito privado o público y que a diferencia del derecho de asociación, la libertad de reunión no tiene por objeto crear una entidad con personalidad jurídica propia sino sólo la posibilidad de que las personas se reúnan de manera transitoria para llevar a cabo objetivos o fines propios de una asociación.</w:t>
      </w:r>
    </w:p>
    <w:p w14:paraId="103B7B84" w14:textId="77777777" w:rsidR="00EC645F" w:rsidRPr="002767D2" w:rsidRDefault="00EC645F" w:rsidP="00EC645F">
      <w:pPr>
        <w:spacing w:after="0" w:line="240" w:lineRule="auto"/>
        <w:ind w:firstLine="547"/>
        <w:jc w:val="both"/>
        <w:rPr>
          <w:rFonts w:ascii="Arial" w:hAnsi="Arial" w:cs="Arial"/>
          <w:sz w:val="24"/>
          <w:szCs w:val="24"/>
        </w:rPr>
      </w:pPr>
    </w:p>
    <w:p w14:paraId="54FE34B1"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lastRenderedPageBreak/>
        <w:t>Es aplicable a lo anterior la Tesis aislada 1a. LIV/2010, Semanario Judicial de la Federación y su Gaceta, Novena Época, Tomo XXXI, marzo de 2010, página 927, que señala:</w:t>
      </w:r>
    </w:p>
    <w:p w14:paraId="37385DEA" w14:textId="77777777" w:rsidR="00EC645F" w:rsidRPr="002767D2" w:rsidRDefault="00EC645F" w:rsidP="00EC645F">
      <w:pPr>
        <w:spacing w:after="0" w:line="240" w:lineRule="auto"/>
        <w:ind w:firstLine="547"/>
        <w:jc w:val="both"/>
        <w:rPr>
          <w:rFonts w:ascii="Arial" w:hAnsi="Arial" w:cs="Arial"/>
          <w:sz w:val="24"/>
          <w:szCs w:val="24"/>
        </w:rPr>
      </w:pPr>
    </w:p>
    <w:p w14:paraId="0877BE44" w14:textId="77777777" w:rsidR="00EC645F" w:rsidRPr="00B21DB9" w:rsidRDefault="00EC645F" w:rsidP="00EC645F">
      <w:pPr>
        <w:spacing w:after="0" w:line="240" w:lineRule="auto"/>
        <w:ind w:left="547"/>
        <w:jc w:val="both"/>
        <w:rPr>
          <w:rFonts w:ascii="Arial" w:hAnsi="Arial" w:cs="Arial"/>
          <w:i/>
          <w:szCs w:val="24"/>
        </w:rPr>
      </w:pPr>
      <w:r w:rsidRPr="00B21DB9">
        <w:rPr>
          <w:rFonts w:ascii="Arial" w:hAnsi="Arial" w:cs="Arial"/>
          <w:i/>
          <w:szCs w:val="24"/>
        </w:rPr>
        <w:t>"</w:t>
      </w:r>
      <w:r w:rsidRPr="00B21DB9">
        <w:rPr>
          <w:rFonts w:ascii="Arial" w:hAnsi="Arial" w:cs="Arial"/>
          <w:b/>
          <w:i/>
          <w:szCs w:val="24"/>
        </w:rPr>
        <w:t>LIBERTAD DE ASOCIACIÓN Y DE REUNIÓN. SUS DIFERENCIAS.</w:t>
      </w:r>
      <w:r w:rsidRPr="00B21DB9">
        <w:rPr>
          <w:rFonts w:ascii="Arial" w:hAnsi="Arial" w:cs="Arial"/>
          <w:i/>
          <w:szCs w:val="24"/>
        </w:rPr>
        <w:t xml:space="preserve"> El derecho de libertad de asociación consagrado en el artículo 9o. de la Constitución Política de los Estados Unidos Mexicanos no debe confundirse con la libertad de reunión prevista en el mismo artículo constitucional. El primero es un derecho complejo compuesto por libertades de índole positiva y negativa que implica entre varias cuestiones la posibilidad de que cualquier individuo pueda establecer, por sí mismo y junto con otras personas, una entidad con personalidad jurídica propia, cuyo objeto y finalidad lícita sea de libre elección. En cambio, la libertad de reunión, aunque es un derecho que mantiene íntima relación con el de asociación, consiste en que todo individuo pueda congregarse o agruparse con otras personas, en un ámbito privado o público y con la finalidad lícita que se quiera, siempre que el ejercicio de este derecho se lleve a cabo de manera pacífica. La diferencia sustancial entre ambos derechos es que la libertad de asociación implica la formación de una nueva persona jurídica, con efectos jurídicos continuos y permanentes, mientras que una simple congregación de personas, aunque puede compartir los fines u objetivos de una asociación, se caracteriza por una existencia transitoria cuyos efectos se despliegan al momento de la reunión física de los individuos."</w:t>
      </w:r>
    </w:p>
    <w:p w14:paraId="74CAEB86" w14:textId="77777777" w:rsidR="00EC645F" w:rsidRPr="002767D2" w:rsidRDefault="00EC645F" w:rsidP="00EC645F">
      <w:pPr>
        <w:spacing w:after="0" w:line="240" w:lineRule="auto"/>
        <w:ind w:firstLine="547"/>
        <w:jc w:val="both"/>
        <w:rPr>
          <w:rFonts w:ascii="Arial" w:hAnsi="Arial" w:cs="Arial"/>
          <w:sz w:val="24"/>
          <w:szCs w:val="24"/>
        </w:rPr>
      </w:pPr>
    </w:p>
    <w:p w14:paraId="27BA760F"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Así, que los derechos de libertad de manifestación de las ideas, expresión y reunión sean derechos reconocidos a una colectividad de personas permite que, todas ellas, gocen de sus beneficios sin más limitantes que las que la propia Constitución Federal establece, por lo cual la probable afectación que provoque una ley en contra de tales derechos a juicio del demandante puede reclamarse mediante un juicio de amparo indirecto.</w:t>
      </w:r>
    </w:p>
    <w:p w14:paraId="374FD306" w14:textId="77777777" w:rsidR="00EC645F" w:rsidRPr="002767D2" w:rsidRDefault="00EC645F" w:rsidP="00EC645F">
      <w:pPr>
        <w:spacing w:after="0" w:line="240" w:lineRule="auto"/>
        <w:ind w:firstLine="547"/>
        <w:jc w:val="both"/>
        <w:rPr>
          <w:rFonts w:ascii="Arial" w:hAnsi="Arial" w:cs="Arial"/>
          <w:sz w:val="24"/>
          <w:szCs w:val="24"/>
        </w:rPr>
      </w:pPr>
    </w:p>
    <w:p w14:paraId="0C5F6227"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Funda lo anterior la tesis 1a. XXXI/2016 (10a.), de la Primera Sala de la Suprema Corte de Justicia de la Nación, de la Gaceta del Semanario Judicial de la Federación, Libro 27, febrero de 2016, Tomo I, página 678, que refiere:</w:t>
      </w:r>
    </w:p>
    <w:p w14:paraId="424524E5" w14:textId="77777777" w:rsidR="00EC645F" w:rsidRPr="002767D2" w:rsidRDefault="00EC645F" w:rsidP="00EC645F">
      <w:pPr>
        <w:spacing w:after="0" w:line="240" w:lineRule="auto"/>
        <w:ind w:firstLine="547"/>
        <w:jc w:val="both"/>
        <w:rPr>
          <w:rFonts w:ascii="Arial" w:hAnsi="Arial" w:cs="Arial"/>
          <w:sz w:val="24"/>
          <w:szCs w:val="24"/>
        </w:rPr>
      </w:pPr>
    </w:p>
    <w:p w14:paraId="71A53DE7" w14:textId="77777777" w:rsidR="00EC645F" w:rsidRPr="002767D2" w:rsidRDefault="00EC645F" w:rsidP="00EC645F">
      <w:pPr>
        <w:spacing w:after="0" w:line="240" w:lineRule="auto"/>
        <w:ind w:left="547"/>
        <w:jc w:val="both"/>
        <w:rPr>
          <w:rFonts w:ascii="Arial" w:hAnsi="Arial" w:cs="Arial"/>
          <w:i/>
          <w:sz w:val="24"/>
          <w:szCs w:val="24"/>
        </w:rPr>
      </w:pPr>
      <w:r w:rsidRPr="00B21DB9">
        <w:rPr>
          <w:rFonts w:ascii="Arial" w:hAnsi="Arial" w:cs="Arial"/>
          <w:i/>
          <w:szCs w:val="24"/>
        </w:rPr>
        <w:t>“</w:t>
      </w:r>
      <w:r w:rsidRPr="00B21DB9">
        <w:rPr>
          <w:rFonts w:ascii="Arial" w:hAnsi="Arial" w:cs="Arial"/>
          <w:b/>
          <w:i/>
          <w:szCs w:val="24"/>
        </w:rPr>
        <w:t>INTERÉS LEGÍTIMO EN AMPARO CONTRA LEYES PENALES. SE ACTUALIZA ANTE NORMAS CUYA MERA EXISTENCIA GENERA UN EFECTO DISUASIVO EN EL EJERCICIO DE LA LIBERTAD DE EXPRESIÓN Y EL DERECHO FUNDAMENTAL DE ACCESO A LA INFORMACIÓN.</w:t>
      </w:r>
      <w:r w:rsidRPr="00B21DB9">
        <w:rPr>
          <w:rFonts w:ascii="Arial" w:hAnsi="Arial" w:cs="Arial"/>
          <w:i/>
          <w:szCs w:val="24"/>
        </w:rPr>
        <w:t xml:space="preserve"> Aunque las normas penales, que tipifican conductas ilícitas, pueden contener obligaciones de hacer o no hacer condicionadas a un acto de aplicación y, por tanto, en su estructura normativa resultar </w:t>
      </w:r>
      <w:proofErr w:type="spellStart"/>
      <w:r w:rsidRPr="00B21DB9">
        <w:rPr>
          <w:rFonts w:ascii="Arial" w:hAnsi="Arial" w:cs="Arial"/>
          <w:i/>
          <w:szCs w:val="24"/>
        </w:rPr>
        <w:t>heteroaplicativas</w:t>
      </w:r>
      <w:proofErr w:type="spellEnd"/>
      <w:r w:rsidRPr="00B21DB9">
        <w:rPr>
          <w:rFonts w:ascii="Arial" w:hAnsi="Arial" w:cs="Arial"/>
          <w:i/>
          <w:szCs w:val="24"/>
        </w:rPr>
        <w:t xml:space="preserve">, lo relevante, desde la perspectiva del interés legítimo, es determinar si generan una afectación especial, que corra de manera paralela, afectando al quejoso de manera individual o colectiva, calificada, actual y de una forma relevante jurídicamente. Ahora bien, la libertad de expresión y el derecho de acceso a la información no sólo protegen un espacio de autonomía personal de los individuos, sino también garantizan un espacio público de deliberación política. De lo que se sigue que las normas penales pueden resultar </w:t>
      </w:r>
      <w:proofErr w:type="spellStart"/>
      <w:r w:rsidRPr="00B21DB9">
        <w:rPr>
          <w:rFonts w:ascii="Arial" w:hAnsi="Arial" w:cs="Arial"/>
          <w:i/>
          <w:szCs w:val="24"/>
        </w:rPr>
        <w:t>autoaplicativas</w:t>
      </w:r>
      <w:proofErr w:type="spellEnd"/>
      <w:r w:rsidRPr="00B21DB9">
        <w:rPr>
          <w:rFonts w:ascii="Arial" w:hAnsi="Arial" w:cs="Arial"/>
          <w:i/>
          <w:szCs w:val="24"/>
        </w:rPr>
        <w:t xml:space="preserve"> por su afectación directa, cuando se alegue que esas normas obstaculicen, impidan o estorben el acceso a dicho espacio. Ello exige de los jueces apreciar las posibilidades de afectación del precepto impugnado en las condiciones de desenvolvimiento de la persona en el espacio público de deliberación, especialmente cuando el tipo de discurso afectable por la norma es de naturaleza política y cuando quien acude al juicio es una persona que se dedica a difundir dicha información a la sociedad. Por tanto, aquí no es relevante determinar si la norma impugnada trasciende en la esfera jurídica del quejoso desde la perspectiva de las consecuencias punitivas exigidas como respuesta de reproche a su conducta, esto es, si el quejoso ha actualizado la hipótesis normativa que activa el aparato punitivo del Estado a través de sus facultades persecutorias y judiciales, lo que implicaría asignar el énfasis al contenido </w:t>
      </w:r>
      <w:proofErr w:type="spellStart"/>
      <w:r w:rsidRPr="00B21DB9">
        <w:rPr>
          <w:rFonts w:ascii="Arial" w:hAnsi="Arial" w:cs="Arial"/>
          <w:i/>
          <w:szCs w:val="24"/>
        </w:rPr>
        <w:t>heteroaplicativo</w:t>
      </w:r>
      <w:proofErr w:type="spellEnd"/>
      <w:r w:rsidRPr="00B21DB9">
        <w:rPr>
          <w:rFonts w:ascii="Arial" w:hAnsi="Arial" w:cs="Arial"/>
          <w:i/>
          <w:szCs w:val="24"/>
        </w:rPr>
        <w:t xml:space="preserve"> de la norma. Un caso paradigmático es el de un periodista, a quien se debe reconocer interés legítimo para impugnar normas que alegue impidan, obstaculicen o impongan requisitos de entrada al espacio público para participar en el debate público, independientemente si acredita un acto de aplicación. En suma, si el quejoso se duele de la imposibilidad del ejercicio desinhibido del ejercicio de deliberación pública, el juez de amparo debe verificar si, prima facie, se genera un efecto obstaculizador de participación en la deliberación pública que permita tener por acreditado el interés legítimo</w:t>
      </w:r>
      <w:r w:rsidRPr="002767D2">
        <w:rPr>
          <w:rFonts w:ascii="Arial" w:hAnsi="Arial" w:cs="Arial"/>
          <w:i/>
          <w:sz w:val="24"/>
          <w:szCs w:val="24"/>
        </w:rPr>
        <w:t>”.</w:t>
      </w:r>
    </w:p>
    <w:p w14:paraId="6B44C984" w14:textId="77777777" w:rsidR="00EC645F" w:rsidRPr="002767D2" w:rsidRDefault="00EC645F" w:rsidP="00EC645F">
      <w:pPr>
        <w:spacing w:after="0" w:line="240" w:lineRule="auto"/>
        <w:ind w:firstLine="547"/>
        <w:jc w:val="both"/>
        <w:rPr>
          <w:rFonts w:ascii="Arial" w:hAnsi="Arial" w:cs="Arial"/>
          <w:sz w:val="24"/>
          <w:szCs w:val="24"/>
        </w:rPr>
      </w:pPr>
    </w:p>
    <w:p w14:paraId="48F3BDDF"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Lo anterior, porque esa circunstancia es generada por un vínculo entre ciertos derechos fundamentales y una persona que comparece en el proceso derivado de derechos objetivos y subjetivos, cuya concesión del amparo se traduciría en beneficio del demandante, debido a que se subsanarían las violaciones a su esfera jurídica mediante la actuación de los poderes públicos de conformidad con el orden jurídico.</w:t>
      </w:r>
    </w:p>
    <w:p w14:paraId="49C7E3A9" w14:textId="77777777" w:rsidR="00EC645F" w:rsidRPr="002767D2" w:rsidRDefault="00EC645F" w:rsidP="00EC645F">
      <w:pPr>
        <w:spacing w:after="0" w:line="240" w:lineRule="auto"/>
        <w:ind w:firstLine="547"/>
        <w:jc w:val="both"/>
        <w:rPr>
          <w:rFonts w:ascii="Arial" w:hAnsi="Arial" w:cs="Arial"/>
          <w:sz w:val="24"/>
          <w:szCs w:val="24"/>
        </w:rPr>
      </w:pPr>
    </w:p>
    <w:p w14:paraId="1475A775"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De ahí que, la posible afectación, en sentido amplio, de los derechos a la libre manifestación de las ideas, expresión y reunión derivada de las disposiciones del Acuerdo reclamado, posibilita la promoción de un juicio de amparo por cualquier persona que se encuentre dentro del territorio nacional.</w:t>
      </w:r>
    </w:p>
    <w:p w14:paraId="00A5FDE9" w14:textId="77777777" w:rsidR="00EC645F" w:rsidRPr="002767D2" w:rsidRDefault="00EC645F" w:rsidP="00EC645F">
      <w:pPr>
        <w:spacing w:after="0" w:line="240" w:lineRule="auto"/>
        <w:ind w:firstLine="547"/>
        <w:jc w:val="both"/>
        <w:rPr>
          <w:rFonts w:ascii="Arial" w:hAnsi="Arial" w:cs="Arial"/>
          <w:sz w:val="24"/>
          <w:szCs w:val="24"/>
        </w:rPr>
      </w:pPr>
    </w:p>
    <w:p w14:paraId="7B0A9547"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Sustenta lo anterior la tesis por identidad la jurisprudencia 2a./J. 114/2018 (10a.), de la Segunda Sala de la Suprema Corte de Justicia de la Nación, de la Gaceta del Semanario Judicial de la Federación, Libro 60, Noviembre de 2018, Tomo II, página: 1146, que establece:</w:t>
      </w:r>
    </w:p>
    <w:p w14:paraId="600DC97E" w14:textId="77777777" w:rsidR="00EC645F" w:rsidRPr="002767D2" w:rsidRDefault="00EC645F" w:rsidP="00EC645F">
      <w:pPr>
        <w:spacing w:after="0" w:line="240" w:lineRule="auto"/>
        <w:ind w:firstLine="547"/>
        <w:jc w:val="both"/>
        <w:rPr>
          <w:rFonts w:ascii="Arial" w:hAnsi="Arial" w:cs="Arial"/>
          <w:sz w:val="24"/>
          <w:szCs w:val="24"/>
        </w:rPr>
      </w:pPr>
    </w:p>
    <w:p w14:paraId="0BF7C02B" w14:textId="77777777" w:rsidR="00EC645F" w:rsidRPr="002767D2" w:rsidRDefault="00EC645F" w:rsidP="00EC645F">
      <w:pPr>
        <w:spacing w:after="0" w:line="240" w:lineRule="auto"/>
        <w:ind w:left="547"/>
        <w:jc w:val="both"/>
        <w:rPr>
          <w:rFonts w:ascii="Arial" w:hAnsi="Arial" w:cs="Arial"/>
          <w:i/>
          <w:sz w:val="24"/>
          <w:szCs w:val="24"/>
        </w:rPr>
      </w:pPr>
      <w:r w:rsidRPr="002767D2">
        <w:rPr>
          <w:rFonts w:ascii="Arial" w:hAnsi="Arial" w:cs="Arial"/>
          <w:i/>
          <w:sz w:val="24"/>
          <w:szCs w:val="24"/>
        </w:rPr>
        <w:t>“</w:t>
      </w:r>
      <w:r w:rsidRPr="002767D2">
        <w:rPr>
          <w:rFonts w:ascii="Arial" w:hAnsi="Arial" w:cs="Arial"/>
          <w:b/>
          <w:i/>
          <w:sz w:val="24"/>
          <w:szCs w:val="24"/>
        </w:rPr>
        <w:t>SEGURIDAD INTERIOR. LA FALTA DE INTERÉS LEGÍTIMO SOBRE LA BASE DE QUE EL QUEJOSO NO ESTÁ EN UNA SITUACIÓN DIFERENCIADA DE CUALQUIER OTRA PERSONA DENTRO DEL TERRITORIO NACIONAL, POR REGLA GENERAL, NO ES UNA CAUSA DE IMPROCEDENCIA MANIFIESTA E INDUDABLE QUE LLEVE A DESECHAR LA DEMANDA DE AMPARO CUANDO RECLAMA LA LEY RELATIVA POR PRESUNTA AFECTACIÓN A SUS DERECHOS HUMANOS A LA LIBRE MANIFESTACIÓN DE LAS IDEAS, EXPRESIÓN Y REUNIÓN</w:t>
      </w:r>
      <w:r w:rsidRPr="002767D2">
        <w:rPr>
          <w:rFonts w:ascii="Arial" w:hAnsi="Arial" w:cs="Arial"/>
          <w:i/>
          <w:sz w:val="24"/>
          <w:szCs w:val="24"/>
        </w:rPr>
        <w:t>”.</w:t>
      </w:r>
    </w:p>
    <w:p w14:paraId="3A93D97C" w14:textId="77777777" w:rsidR="00EC645F" w:rsidRPr="002767D2" w:rsidRDefault="00EC645F" w:rsidP="00EC645F">
      <w:pPr>
        <w:spacing w:after="0" w:line="240" w:lineRule="auto"/>
        <w:ind w:firstLine="547"/>
        <w:jc w:val="both"/>
        <w:rPr>
          <w:rFonts w:ascii="Arial" w:hAnsi="Arial" w:cs="Arial"/>
          <w:sz w:val="24"/>
          <w:szCs w:val="24"/>
        </w:rPr>
      </w:pPr>
    </w:p>
    <w:p w14:paraId="550B35CC"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Por lo expuesto, es evidente que el multicitado Acuerdo, desde su entrada en vigor, sujeta a todas las personas dentro de la Nación, a la autoridad de las Fuerzas Armadas en tiempos de paz, por cuanto a que pueden llevar a cabo actos de molestia y de privación en perjuicio de los integrantes de la sociedad, en la medida que se les permite intervenir en la seguridad pública, llevar a cabo detenciones y aseguramiento de bienes, así como diversas labores de policía que coexisten con las labores cotidianas de seguridad pública en el ámbito civil.</w:t>
      </w:r>
    </w:p>
    <w:p w14:paraId="2A1BC574" w14:textId="77777777" w:rsidR="00EC645F" w:rsidRPr="002767D2" w:rsidRDefault="00EC645F" w:rsidP="00EC645F">
      <w:pPr>
        <w:spacing w:after="0" w:line="240" w:lineRule="auto"/>
        <w:ind w:firstLine="547"/>
        <w:jc w:val="both"/>
        <w:rPr>
          <w:rFonts w:ascii="Arial" w:hAnsi="Arial" w:cs="Arial"/>
          <w:sz w:val="24"/>
          <w:szCs w:val="24"/>
        </w:rPr>
      </w:pPr>
    </w:p>
    <w:p w14:paraId="0672ADAA" w14:textId="0B009F0B"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En tal virtud, la propia naturaleza d</w:t>
      </w:r>
      <w:r w:rsidR="002767D2" w:rsidRPr="002767D2">
        <w:rPr>
          <w:rFonts w:ascii="Arial" w:hAnsi="Arial" w:cs="Arial"/>
          <w:sz w:val="24"/>
          <w:szCs w:val="24"/>
        </w:rPr>
        <w:t>e los actos que, por virtud de las normas generales reclamadas</w:t>
      </w:r>
      <w:r w:rsidRPr="002767D2">
        <w:rPr>
          <w:rFonts w:ascii="Arial" w:hAnsi="Arial" w:cs="Arial"/>
          <w:sz w:val="24"/>
          <w:szCs w:val="24"/>
        </w:rPr>
        <w:t xml:space="preserve"> se permiten realizar a las Fuerzas Armadas</w:t>
      </w:r>
      <w:r w:rsidR="002767D2" w:rsidRPr="002767D2">
        <w:rPr>
          <w:rFonts w:ascii="Arial" w:hAnsi="Arial" w:cs="Arial"/>
          <w:sz w:val="24"/>
          <w:szCs w:val="24"/>
        </w:rPr>
        <w:t xml:space="preserve"> sobre la Guardia Nacional</w:t>
      </w:r>
      <w:r w:rsidRPr="002767D2">
        <w:rPr>
          <w:rFonts w:ascii="Arial" w:hAnsi="Arial" w:cs="Arial"/>
          <w:sz w:val="24"/>
          <w:szCs w:val="24"/>
        </w:rPr>
        <w:t>, necesariamente implican algún nivel de contacto con los integrantes de la sociedad, desde la inmediación entre la autoridad militar y el individuo, para efectos de vigilancia, investigación, identificación o prevención en la materia, así como actos de privación o molestia, como la restricción temporal del ejercicio de la libertad personal o propiedad; incluso hasta la detención de una persona o el aseguramiento de sus bienes.</w:t>
      </w:r>
    </w:p>
    <w:p w14:paraId="787D00E9" w14:textId="77777777" w:rsidR="00EC645F" w:rsidRPr="002767D2" w:rsidRDefault="00EC645F" w:rsidP="00EC645F">
      <w:pPr>
        <w:spacing w:after="0" w:line="240" w:lineRule="auto"/>
        <w:ind w:firstLine="547"/>
        <w:jc w:val="both"/>
        <w:rPr>
          <w:rFonts w:ascii="Arial" w:hAnsi="Arial" w:cs="Arial"/>
          <w:sz w:val="24"/>
          <w:szCs w:val="24"/>
        </w:rPr>
      </w:pPr>
    </w:p>
    <w:p w14:paraId="6E98E6A6"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En efecto, el Acuerdo reclamado, desde su entrada en vigor, afecta el derecho subjetivo o el interés legítimo y Constitucional de la parte quejosa a no ser sujeta en tiempos de paz a la jurisdicción y autoridad de las fuerzas armadas, previsto en el artículo 16 en relación con los diversos 21 y 129 Constitucionales, por cuanto a que ese derecho subjetivo se ve reducido en la misma proporción en que emergen e incrementan las facultades de las Fuerzas Armadas sobre la esfera jurídica de los integrantes de la sociedad, por causa de la norma reclamada.</w:t>
      </w:r>
    </w:p>
    <w:p w14:paraId="7AD55FD1" w14:textId="77777777" w:rsidR="00EC645F" w:rsidRPr="002767D2" w:rsidRDefault="00EC645F" w:rsidP="00EC645F">
      <w:pPr>
        <w:spacing w:after="0" w:line="240" w:lineRule="auto"/>
        <w:ind w:firstLine="547"/>
        <w:jc w:val="both"/>
        <w:rPr>
          <w:rFonts w:ascii="Arial" w:hAnsi="Arial" w:cs="Arial"/>
          <w:bCs/>
          <w:i/>
          <w:sz w:val="24"/>
          <w:szCs w:val="24"/>
        </w:rPr>
      </w:pPr>
    </w:p>
    <w:p w14:paraId="66C9DC52"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Por ello, se estima que cualquier persona que se encuentre en el territorio nacional puede solicitar que se garantice el debido funcionamiento de la seguridad pública que se encuentra a cargo del Estado y que, en consecuencia, pueden acudir al juicio constitucional en defensa de sus derechos humanos, como el debido funcionamiento de la seguridad pública que debe impartir el Estado.</w:t>
      </w:r>
    </w:p>
    <w:p w14:paraId="69161851" w14:textId="77777777" w:rsidR="00EC645F" w:rsidRPr="002767D2" w:rsidRDefault="00EC645F" w:rsidP="00EC645F">
      <w:pPr>
        <w:spacing w:after="0" w:line="240" w:lineRule="auto"/>
        <w:ind w:firstLine="547"/>
        <w:jc w:val="both"/>
        <w:rPr>
          <w:rFonts w:ascii="Arial" w:hAnsi="Arial" w:cs="Arial"/>
          <w:sz w:val="24"/>
          <w:szCs w:val="24"/>
        </w:rPr>
      </w:pPr>
    </w:p>
    <w:p w14:paraId="0FAFD629" w14:textId="77777777"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Es aplicable a lo anterior la tesis I.9o.A.111 A (10a.), del Noveno Tribunal Colegiado en Materia Administrativa del Primer Circuito, de la Gaceta del Semanario Judicial de la Federación, Tomo: Libro 60, noviembre de 2018 Tomo III, página 2313, que establece:</w:t>
      </w:r>
    </w:p>
    <w:p w14:paraId="67B7AA99" w14:textId="77777777" w:rsidR="00EC645F" w:rsidRPr="002767D2" w:rsidRDefault="00EC645F" w:rsidP="00EC645F">
      <w:pPr>
        <w:spacing w:after="0" w:line="240" w:lineRule="auto"/>
        <w:ind w:firstLine="547"/>
        <w:jc w:val="both"/>
        <w:rPr>
          <w:rFonts w:ascii="Arial" w:hAnsi="Arial" w:cs="Arial"/>
          <w:sz w:val="24"/>
          <w:szCs w:val="24"/>
        </w:rPr>
      </w:pPr>
    </w:p>
    <w:p w14:paraId="0C18A945" w14:textId="665DF06D" w:rsidR="00EC645F" w:rsidRPr="002767D2" w:rsidRDefault="00EC645F" w:rsidP="00EC645F">
      <w:pPr>
        <w:spacing w:after="0" w:line="240" w:lineRule="auto"/>
        <w:ind w:left="547"/>
        <w:jc w:val="both"/>
        <w:rPr>
          <w:rFonts w:ascii="Arial" w:hAnsi="Arial" w:cs="Arial"/>
          <w:bCs/>
          <w:i/>
          <w:sz w:val="24"/>
          <w:szCs w:val="24"/>
        </w:rPr>
      </w:pPr>
      <w:r w:rsidRPr="002767D2">
        <w:rPr>
          <w:rFonts w:ascii="Arial" w:hAnsi="Arial" w:cs="Arial"/>
          <w:i/>
          <w:sz w:val="24"/>
          <w:szCs w:val="24"/>
        </w:rPr>
        <w:t>“</w:t>
      </w:r>
      <w:r w:rsidRPr="002767D2">
        <w:rPr>
          <w:rFonts w:ascii="Arial" w:hAnsi="Arial" w:cs="Arial"/>
          <w:b/>
          <w:i/>
          <w:sz w:val="24"/>
          <w:szCs w:val="24"/>
        </w:rPr>
        <w:t>PROHIBICIÓN DEL CONSUMO LÚDICO DE LA CANNABIS SATIVA. LOS PRECEPTOS DE LA LEY GENERAL DE SALUD QUE LA PREVÉN, GENERAN UNA AFECTACIÓN AUTOAPLICATIVA QUE ACTUALIZA EL INTERÉS LEGÍTIM</w:t>
      </w:r>
      <w:r w:rsidR="002767D2" w:rsidRPr="002767D2">
        <w:rPr>
          <w:rFonts w:ascii="Arial" w:hAnsi="Arial" w:cs="Arial"/>
          <w:b/>
          <w:i/>
          <w:sz w:val="24"/>
          <w:szCs w:val="24"/>
        </w:rPr>
        <w:t>O PARA RECLAMARLOS EN EL AMPARO</w:t>
      </w:r>
      <w:r w:rsidRPr="002767D2">
        <w:rPr>
          <w:rFonts w:ascii="Arial" w:hAnsi="Arial" w:cs="Arial"/>
          <w:i/>
          <w:sz w:val="24"/>
          <w:szCs w:val="24"/>
        </w:rPr>
        <w:t>”.</w:t>
      </w:r>
    </w:p>
    <w:p w14:paraId="29226EF2" w14:textId="77777777" w:rsidR="00EC645F" w:rsidRPr="002767D2" w:rsidRDefault="00EC645F" w:rsidP="00EC645F">
      <w:pPr>
        <w:spacing w:after="0" w:line="240" w:lineRule="auto"/>
        <w:ind w:firstLine="547"/>
        <w:jc w:val="both"/>
        <w:rPr>
          <w:rFonts w:ascii="Arial" w:hAnsi="Arial" w:cs="Arial"/>
          <w:bCs/>
          <w:i/>
          <w:sz w:val="24"/>
          <w:szCs w:val="24"/>
        </w:rPr>
      </w:pPr>
    </w:p>
    <w:p w14:paraId="2906FA34" w14:textId="0FA37025" w:rsidR="00EC645F" w:rsidRPr="002767D2" w:rsidRDefault="00EC645F" w:rsidP="00EC645F">
      <w:pPr>
        <w:spacing w:after="0" w:line="240" w:lineRule="auto"/>
        <w:ind w:firstLine="547"/>
        <w:jc w:val="both"/>
        <w:rPr>
          <w:rFonts w:ascii="Arial" w:hAnsi="Arial" w:cs="Arial"/>
          <w:sz w:val="24"/>
          <w:szCs w:val="24"/>
        </w:rPr>
      </w:pPr>
      <w:r w:rsidRPr="002767D2">
        <w:rPr>
          <w:rFonts w:ascii="Arial" w:hAnsi="Arial" w:cs="Arial"/>
          <w:sz w:val="24"/>
          <w:szCs w:val="24"/>
        </w:rPr>
        <w:t xml:space="preserve">En el entendido de que, debe desestimarse la actualización de la causa de improcedencia de </w:t>
      </w:r>
      <w:r w:rsidR="002767D2" w:rsidRPr="002767D2">
        <w:rPr>
          <w:rFonts w:ascii="Arial" w:hAnsi="Arial" w:cs="Arial"/>
          <w:sz w:val="24"/>
          <w:szCs w:val="24"/>
        </w:rPr>
        <w:t>falta de interés legítimo</w:t>
      </w:r>
      <w:r w:rsidRPr="002767D2">
        <w:rPr>
          <w:rFonts w:ascii="Arial" w:hAnsi="Arial" w:cs="Arial"/>
          <w:sz w:val="24"/>
          <w:szCs w:val="24"/>
        </w:rPr>
        <w:t>, toda vez que ello involucra cuestiones relacionadas con el análisis de fondo del asunto.</w:t>
      </w:r>
    </w:p>
    <w:p w14:paraId="028CA21E" w14:textId="3E0FD826" w:rsidR="00DD7D2A" w:rsidRPr="00EF2874" w:rsidRDefault="001B611D" w:rsidP="00DD7D2A">
      <w:pPr>
        <w:pStyle w:val="Sangradetextonormal"/>
        <w:spacing w:line="276" w:lineRule="auto"/>
        <w:rPr>
          <w:rFonts w:ascii="Arial" w:hAnsi="Arial" w:cs="Arial"/>
          <w:sz w:val="24"/>
        </w:rPr>
      </w:pPr>
      <w:r>
        <w:rPr>
          <w:rFonts w:ascii="Arial" w:hAnsi="Arial" w:cs="Arial"/>
          <w:b/>
          <w:bCs/>
          <w:sz w:val="24"/>
        </w:rPr>
        <w:lastRenderedPageBreak/>
        <w:t xml:space="preserve">VIII. </w:t>
      </w:r>
      <w:r w:rsidR="002A06EC" w:rsidRPr="00EF2874">
        <w:rPr>
          <w:rFonts w:ascii="Arial" w:hAnsi="Arial" w:cs="Arial"/>
          <w:b/>
          <w:bCs/>
          <w:sz w:val="24"/>
        </w:rPr>
        <w:t xml:space="preserve">PRECEPTOS CONSTITUCIONALES QUE CONTIENEN LAS GARANTÍAS VIOLADAS.- </w:t>
      </w:r>
      <w:r w:rsidR="008748DE" w:rsidRPr="008748DE">
        <w:rPr>
          <w:rFonts w:ascii="Arial" w:hAnsi="Arial" w:cs="Arial"/>
          <w:bCs/>
          <w:sz w:val="24"/>
        </w:rPr>
        <w:t>Artículos</w:t>
      </w:r>
      <w:r w:rsidR="008748DE">
        <w:rPr>
          <w:rFonts w:ascii="Arial" w:hAnsi="Arial" w:cs="Arial"/>
          <w:b/>
          <w:bCs/>
          <w:sz w:val="24"/>
        </w:rPr>
        <w:t xml:space="preserve"> </w:t>
      </w:r>
      <w:r w:rsidR="008748DE" w:rsidRPr="008748DE">
        <w:rPr>
          <w:rFonts w:ascii="Arial" w:hAnsi="Arial" w:cs="Arial"/>
          <w:bCs/>
          <w:sz w:val="24"/>
        </w:rPr>
        <w:t>1, 6, 7,</w:t>
      </w:r>
      <w:r w:rsidR="0039625E">
        <w:rPr>
          <w:rFonts w:ascii="Arial" w:hAnsi="Arial" w:cs="Arial"/>
          <w:bCs/>
          <w:sz w:val="24"/>
        </w:rPr>
        <w:t xml:space="preserve"> 8, 9, 14, 16, 21, 29, 32, 89, </w:t>
      </w:r>
      <w:r w:rsidR="008748DE" w:rsidRPr="008748DE">
        <w:rPr>
          <w:rFonts w:ascii="Arial" w:hAnsi="Arial" w:cs="Arial"/>
          <w:bCs/>
          <w:sz w:val="24"/>
        </w:rPr>
        <w:t>129</w:t>
      </w:r>
      <w:r w:rsidR="0039625E">
        <w:rPr>
          <w:rFonts w:ascii="Arial" w:hAnsi="Arial" w:cs="Arial"/>
          <w:bCs/>
          <w:sz w:val="24"/>
        </w:rPr>
        <w:t xml:space="preserve"> Y 133</w:t>
      </w:r>
      <w:r w:rsidR="008748DE">
        <w:rPr>
          <w:rFonts w:ascii="Arial" w:hAnsi="Arial" w:cs="Arial"/>
          <w:b/>
          <w:bCs/>
          <w:sz w:val="24"/>
        </w:rPr>
        <w:t xml:space="preserve"> </w:t>
      </w:r>
      <w:r w:rsidR="008748DE" w:rsidRPr="008748DE">
        <w:rPr>
          <w:rFonts w:ascii="Arial" w:hAnsi="Arial" w:cs="Arial"/>
          <w:bCs/>
          <w:sz w:val="24"/>
        </w:rPr>
        <w:t xml:space="preserve">de la Constitución Política de los Estados Unidos Mexicanos. </w:t>
      </w:r>
      <w:r w:rsidR="00DD7D2A" w:rsidRPr="00030938">
        <w:rPr>
          <w:rFonts w:ascii="Arial" w:hAnsi="Arial" w:cs="Arial"/>
          <w:sz w:val="24"/>
        </w:rPr>
        <w:t>A</w:t>
      </w:r>
      <w:r w:rsidR="00DD7D2A">
        <w:rPr>
          <w:rFonts w:ascii="Arial" w:hAnsi="Arial" w:cs="Arial"/>
          <w:sz w:val="24"/>
        </w:rPr>
        <w:t>sí como</w:t>
      </w:r>
      <w:r w:rsidR="00DD7D2A" w:rsidRPr="00030938">
        <w:rPr>
          <w:rFonts w:ascii="Arial" w:hAnsi="Arial" w:cs="Arial"/>
          <w:sz w:val="24"/>
        </w:rPr>
        <w:t xml:space="preserve"> </w:t>
      </w:r>
      <w:r w:rsidR="00DD7D2A">
        <w:rPr>
          <w:rFonts w:ascii="Arial" w:hAnsi="Arial" w:cs="Arial"/>
          <w:sz w:val="24"/>
        </w:rPr>
        <w:t>los numerales</w:t>
      </w:r>
      <w:r w:rsidR="00DD7D2A">
        <w:rPr>
          <w:rFonts w:ascii="Arial" w:hAnsi="Arial" w:cs="Arial"/>
          <w:b/>
          <w:bCs/>
          <w:sz w:val="24"/>
        </w:rPr>
        <w:t xml:space="preserve"> </w:t>
      </w:r>
      <w:r w:rsidR="00DD7D2A" w:rsidRPr="0068598D">
        <w:rPr>
          <w:rFonts w:ascii="Arial" w:hAnsi="Arial" w:cs="Arial"/>
          <w:b/>
          <w:sz w:val="24"/>
        </w:rPr>
        <w:t>9</w:t>
      </w:r>
      <w:r w:rsidR="00DD7D2A">
        <w:rPr>
          <w:rFonts w:ascii="Arial" w:hAnsi="Arial" w:cs="Arial"/>
          <w:sz w:val="24"/>
        </w:rPr>
        <w:t xml:space="preserve">, </w:t>
      </w:r>
      <w:r w:rsidR="00DD7D2A" w:rsidRPr="0068598D">
        <w:rPr>
          <w:rFonts w:ascii="Arial" w:hAnsi="Arial" w:cs="Arial"/>
          <w:b/>
          <w:sz w:val="24"/>
        </w:rPr>
        <w:t>12</w:t>
      </w:r>
      <w:r w:rsidR="00DD7D2A">
        <w:rPr>
          <w:rFonts w:ascii="Arial" w:hAnsi="Arial" w:cs="Arial"/>
          <w:sz w:val="24"/>
        </w:rPr>
        <w:t xml:space="preserve">, </w:t>
      </w:r>
      <w:r w:rsidR="00DD7D2A" w:rsidRPr="0068598D">
        <w:rPr>
          <w:rFonts w:ascii="Arial" w:hAnsi="Arial" w:cs="Arial"/>
          <w:b/>
          <w:sz w:val="24"/>
        </w:rPr>
        <w:t>19,</w:t>
      </w:r>
      <w:r w:rsidR="00DD7D2A">
        <w:rPr>
          <w:rFonts w:ascii="Arial" w:hAnsi="Arial" w:cs="Arial"/>
          <w:sz w:val="24"/>
        </w:rPr>
        <w:t xml:space="preserve"> </w:t>
      </w:r>
      <w:r w:rsidR="00DD7D2A" w:rsidRPr="0068598D">
        <w:rPr>
          <w:rFonts w:ascii="Arial" w:hAnsi="Arial" w:cs="Arial"/>
          <w:b/>
          <w:sz w:val="24"/>
        </w:rPr>
        <w:t>21</w:t>
      </w:r>
      <w:r w:rsidR="00DD7D2A">
        <w:rPr>
          <w:rFonts w:ascii="Arial" w:hAnsi="Arial" w:cs="Arial"/>
          <w:sz w:val="24"/>
        </w:rPr>
        <w:t xml:space="preserve"> del Pacto Internacional de Derechos Civiles y Políticos y </w:t>
      </w:r>
      <w:r w:rsidR="00DD7D2A" w:rsidRPr="0068598D">
        <w:rPr>
          <w:rFonts w:ascii="Arial" w:hAnsi="Arial" w:cs="Arial"/>
          <w:b/>
          <w:sz w:val="24"/>
        </w:rPr>
        <w:t>5</w:t>
      </w:r>
      <w:r w:rsidR="00DD7D2A">
        <w:rPr>
          <w:rFonts w:ascii="Arial" w:hAnsi="Arial" w:cs="Arial"/>
          <w:sz w:val="24"/>
        </w:rPr>
        <w:t xml:space="preserve">, </w:t>
      </w:r>
      <w:r w:rsidR="00DD7D2A" w:rsidRPr="0068598D">
        <w:rPr>
          <w:rFonts w:ascii="Arial" w:hAnsi="Arial" w:cs="Arial"/>
          <w:b/>
          <w:sz w:val="24"/>
        </w:rPr>
        <w:t>7,</w:t>
      </w:r>
      <w:r w:rsidR="00DD7D2A">
        <w:rPr>
          <w:rFonts w:ascii="Arial" w:hAnsi="Arial" w:cs="Arial"/>
          <w:sz w:val="24"/>
        </w:rPr>
        <w:t xml:space="preserve"> </w:t>
      </w:r>
      <w:r w:rsidR="00DD7D2A" w:rsidRPr="0068598D">
        <w:rPr>
          <w:rFonts w:ascii="Arial" w:hAnsi="Arial" w:cs="Arial"/>
          <w:b/>
          <w:sz w:val="24"/>
        </w:rPr>
        <w:t>13</w:t>
      </w:r>
      <w:r w:rsidR="00DD7D2A">
        <w:rPr>
          <w:rFonts w:ascii="Arial" w:hAnsi="Arial" w:cs="Arial"/>
          <w:sz w:val="24"/>
        </w:rPr>
        <w:t xml:space="preserve">, </w:t>
      </w:r>
      <w:r w:rsidR="00DD7D2A" w:rsidRPr="0068598D">
        <w:rPr>
          <w:rFonts w:ascii="Arial" w:hAnsi="Arial" w:cs="Arial"/>
          <w:b/>
          <w:sz w:val="24"/>
        </w:rPr>
        <w:t>22</w:t>
      </w:r>
      <w:r w:rsidR="00DD7D2A">
        <w:rPr>
          <w:rFonts w:ascii="Arial" w:hAnsi="Arial" w:cs="Arial"/>
          <w:sz w:val="24"/>
        </w:rPr>
        <w:t xml:space="preserve"> de la Convención Americana Sobre Derechos Humanos.</w:t>
      </w:r>
    </w:p>
    <w:p w14:paraId="24908F54" w14:textId="42710C9F" w:rsidR="008748DE" w:rsidRDefault="008748DE" w:rsidP="003C39B4">
      <w:pPr>
        <w:pStyle w:val="Sangradetextonormal"/>
        <w:spacing w:line="276" w:lineRule="auto"/>
        <w:rPr>
          <w:rFonts w:ascii="Arial" w:hAnsi="Arial" w:cs="Arial"/>
          <w:bCs/>
          <w:sz w:val="24"/>
        </w:rPr>
      </w:pPr>
    </w:p>
    <w:p w14:paraId="6F866040" w14:textId="05CDC507" w:rsidR="00713D9C" w:rsidRPr="00EF2874" w:rsidRDefault="002A06EC" w:rsidP="003C39B4">
      <w:pPr>
        <w:pStyle w:val="Sangradetextonormal"/>
        <w:spacing w:line="276" w:lineRule="auto"/>
        <w:rPr>
          <w:rFonts w:ascii="Arial" w:hAnsi="Arial" w:cs="Arial"/>
          <w:sz w:val="24"/>
        </w:rPr>
      </w:pPr>
      <w:r w:rsidRPr="00EF2874">
        <w:rPr>
          <w:rFonts w:ascii="Arial" w:hAnsi="Arial" w:cs="Arial"/>
          <w:sz w:val="24"/>
        </w:rPr>
        <w:t xml:space="preserve">En la especie se </w:t>
      </w:r>
      <w:r w:rsidR="00794E6D">
        <w:rPr>
          <w:rFonts w:ascii="Arial" w:hAnsi="Arial" w:cs="Arial"/>
          <w:sz w:val="24"/>
        </w:rPr>
        <w:t>violan y amedrentan</w:t>
      </w:r>
      <w:r w:rsidRPr="00EF2874">
        <w:rPr>
          <w:rFonts w:ascii="Arial" w:hAnsi="Arial" w:cs="Arial"/>
          <w:sz w:val="24"/>
        </w:rPr>
        <w:t xml:space="preserve"> </w:t>
      </w:r>
      <w:r w:rsidR="005A5FD6" w:rsidRPr="00EF2874">
        <w:rPr>
          <w:rFonts w:ascii="Arial" w:hAnsi="Arial" w:cs="Arial"/>
          <w:sz w:val="24"/>
        </w:rPr>
        <w:t>los derechos humanos</w:t>
      </w:r>
      <w:r w:rsidR="006A6411" w:rsidRPr="00EF2874">
        <w:rPr>
          <w:rFonts w:ascii="Arial" w:hAnsi="Arial" w:cs="Arial"/>
          <w:sz w:val="24"/>
        </w:rPr>
        <w:t xml:space="preserve"> </w:t>
      </w:r>
      <w:r w:rsidR="00794E6D">
        <w:rPr>
          <w:rFonts w:ascii="Arial" w:hAnsi="Arial" w:cs="Arial"/>
          <w:sz w:val="24"/>
        </w:rPr>
        <w:t>de</w:t>
      </w:r>
      <w:r w:rsidR="00E918F4">
        <w:rPr>
          <w:rFonts w:ascii="Arial" w:hAnsi="Arial" w:cs="Arial"/>
          <w:sz w:val="24"/>
        </w:rPr>
        <w:t xml:space="preserve"> defender derechos humanos,</w:t>
      </w:r>
      <w:r w:rsidR="00794E6D">
        <w:rPr>
          <w:rFonts w:ascii="Arial" w:hAnsi="Arial" w:cs="Arial"/>
          <w:sz w:val="24"/>
        </w:rPr>
        <w:t xml:space="preserve"> libertad de expresión, acceso a la información pública, libertad de manifestación de ideas, derecho de petición, libertad de reunión </w:t>
      </w:r>
      <w:r w:rsidR="005A5FD6" w:rsidRPr="00EF2874">
        <w:rPr>
          <w:rFonts w:ascii="Arial" w:hAnsi="Arial" w:cs="Arial"/>
          <w:sz w:val="24"/>
        </w:rPr>
        <w:t>consagrado</w:t>
      </w:r>
      <w:r w:rsidRPr="00EF2874">
        <w:rPr>
          <w:rFonts w:ascii="Arial" w:hAnsi="Arial" w:cs="Arial"/>
          <w:sz w:val="24"/>
        </w:rPr>
        <w:t xml:space="preserve">s por </w:t>
      </w:r>
      <w:r w:rsidR="00AA0062" w:rsidRPr="00EF2874">
        <w:rPr>
          <w:rFonts w:ascii="Arial" w:hAnsi="Arial" w:cs="Arial"/>
          <w:sz w:val="24"/>
        </w:rPr>
        <w:t xml:space="preserve">los artículos constitucionales: </w:t>
      </w:r>
      <w:r w:rsidR="00AA0062" w:rsidRPr="00EF2874">
        <w:rPr>
          <w:rFonts w:ascii="Arial" w:hAnsi="Arial" w:cs="Arial"/>
          <w:b/>
          <w:sz w:val="24"/>
        </w:rPr>
        <w:t xml:space="preserve">artículo </w:t>
      </w:r>
      <w:r w:rsidR="00361A58" w:rsidRPr="00EF2874">
        <w:rPr>
          <w:rFonts w:ascii="Arial" w:hAnsi="Arial" w:cs="Arial"/>
          <w:b/>
          <w:sz w:val="24"/>
        </w:rPr>
        <w:t>1</w:t>
      </w:r>
      <w:r w:rsidR="00030938">
        <w:rPr>
          <w:rFonts w:ascii="Arial" w:hAnsi="Arial" w:cs="Arial"/>
          <w:b/>
          <w:sz w:val="24"/>
        </w:rPr>
        <w:t>, 6,</w:t>
      </w:r>
      <w:r w:rsidR="00343D99">
        <w:rPr>
          <w:rFonts w:ascii="Arial" w:hAnsi="Arial" w:cs="Arial"/>
          <w:b/>
          <w:sz w:val="24"/>
        </w:rPr>
        <w:t xml:space="preserve"> 7,</w:t>
      </w:r>
      <w:r w:rsidR="00030938">
        <w:rPr>
          <w:rFonts w:ascii="Arial" w:hAnsi="Arial" w:cs="Arial"/>
          <w:b/>
          <w:sz w:val="24"/>
        </w:rPr>
        <w:t xml:space="preserve"> 8 </w:t>
      </w:r>
      <w:r w:rsidR="00030938" w:rsidRPr="00030938">
        <w:rPr>
          <w:rFonts w:ascii="Arial" w:hAnsi="Arial" w:cs="Arial"/>
          <w:bCs/>
          <w:sz w:val="24"/>
        </w:rPr>
        <w:t>y</w:t>
      </w:r>
      <w:r w:rsidR="00030938">
        <w:rPr>
          <w:rFonts w:ascii="Arial" w:hAnsi="Arial" w:cs="Arial"/>
          <w:b/>
          <w:sz w:val="24"/>
        </w:rPr>
        <w:t xml:space="preserve"> 9</w:t>
      </w:r>
      <w:r w:rsidR="00361A58" w:rsidRPr="00EF2874">
        <w:rPr>
          <w:rFonts w:ascii="Arial" w:hAnsi="Arial" w:cs="Arial"/>
          <w:sz w:val="24"/>
        </w:rPr>
        <w:t xml:space="preserve">; </w:t>
      </w:r>
      <w:r w:rsidR="005A5FD6" w:rsidRPr="00EF2874">
        <w:rPr>
          <w:rFonts w:ascii="Arial" w:hAnsi="Arial" w:cs="Arial"/>
          <w:sz w:val="24"/>
        </w:rPr>
        <w:t xml:space="preserve">asimismo, se </w:t>
      </w:r>
      <w:r w:rsidR="00B862C9">
        <w:rPr>
          <w:rFonts w:ascii="Arial" w:hAnsi="Arial" w:cs="Arial"/>
          <w:sz w:val="24"/>
        </w:rPr>
        <w:t xml:space="preserve">transgredió mi derecho de </w:t>
      </w:r>
      <w:r w:rsidR="00B862C9" w:rsidRPr="00EF2874">
        <w:rPr>
          <w:rFonts w:ascii="Arial" w:hAnsi="Arial" w:cs="Arial"/>
          <w:sz w:val="24"/>
        </w:rPr>
        <w:t xml:space="preserve">audiencia, defensa, formalidades del procedimiento </w:t>
      </w:r>
      <w:r w:rsidR="00B862C9">
        <w:rPr>
          <w:rFonts w:ascii="Arial" w:hAnsi="Arial" w:cs="Arial"/>
          <w:sz w:val="24"/>
        </w:rPr>
        <w:t>de los actos privativos contemplados en</w:t>
      </w:r>
      <w:r w:rsidR="005A5FD6" w:rsidRPr="00EF2874">
        <w:rPr>
          <w:rFonts w:ascii="Arial" w:hAnsi="Arial" w:cs="Arial"/>
          <w:b/>
          <w:sz w:val="24"/>
        </w:rPr>
        <w:t xml:space="preserve"> </w:t>
      </w:r>
      <w:r w:rsidR="005A5FD6" w:rsidRPr="00B862C9">
        <w:rPr>
          <w:rFonts w:ascii="Arial" w:hAnsi="Arial" w:cs="Arial"/>
          <w:bCs/>
          <w:sz w:val="24"/>
        </w:rPr>
        <w:t>el</w:t>
      </w:r>
      <w:r w:rsidR="005A5FD6" w:rsidRPr="00EF2874">
        <w:rPr>
          <w:rFonts w:ascii="Arial" w:hAnsi="Arial" w:cs="Arial"/>
          <w:b/>
          <w:sz w:val="24"/>
        </w:rPr>
        <w:t xml:space="preserve"> artículo 14</w:t>
      </w:r>
      <w:r w:rsidR="00030938" w:rsidRPr="00030938">
        <w:rPr>
          <w:rFonts w:ascii="Arial" w:hAnsi="Arial" w:cs="Arial"/>
          <w:bCs/>
          <w:sz w:val="24"/>
        </w:rPr>
        <w:t>;</w:t>
      </w:r>
      <w:r w:rsidR="00B862C9">
        <w:rPr>
          <w:rFonts w:ascii="Arial" w:hAnsi="Arial" w:cs="Arial"/>
          <w:b/>
          <w:sz w:val="24"/>
        </w:rPr>
        <w:t xml:space="preserve"> </w:t>
      </w:r>
      <w:r w:rsidR="00B862C9" w:rsidRPr="00B862C9">
        <w:rPr>
          <w:rFonts w:ascii="Arial" w:hAnsi="Arial" w:cs="Arial"/>
          <w:bCs/>
          <w:sz w:val="24"/>
        </w:rPr>
        <w:t>la</w:t>
      </w:r>
      <w:r w:rsidR="00BF3F9E" w:rsidRPr="00EF2874">
        <w:rPr>
          <w:rFonts w:ascii="Arial" w:hAnsi="Arial" w:cs="Arial"/>
          <w:sz w:val="24"/>
        </w:rPr>
        <w:t xml:space="preserve"> </w:t>
      </w:r>
      <w:r w:rsidR="00B862C9" w:rsidRPr="00EF2874">
        <w:rPr>
          <w:rFonts w:ascii="Arial" w:hAnsi="Arial" w:cs="Arial"/>
          <w:sz w:val="24"/>
        </w:rPr>
        <w:t>falta de fundamentación y motivación de</w:t>
      </w:r>
      <w:r w:rsidR="00030EDC">
        <w:rPr>
          <w:rFonts w:ascii="Arial" w:hAnsi="Arial" w:cs="Arial"/>
          <w:sz w:val="24"/>
        </w:rPr>
        <w:t xml:space="preserve">l acto de </w:t>
      </w:r>
      <w:r w:rsidR="00B862C9" w:rsidRPr="00EF2874">
        <w:rPr>
          <w:rFonts w:ascii="Arial" w:hAnsi="Arial" w:cs="Arial"/>
          <w:sz w:val="24"/>
        </w:rPr>
        <w:t>molestia</w:t>
      </w:r>
      <w:r w:rsidR="00030938">
        <w:rPr>
          <w:rFonts w:ascii="Arial" w:hAnsi="Arial" w:cs="Arial"/>
          <w:sz w:val="24"/>
        </w:rPr>
        <w:t xml:space="preserve"> establecidos en el</w:t>
      </w:r>
      <w:r w:rsidR="00B862C9" w:rsidRPr="00EF2874">
        <w:rPr>
          <w:rFonts w:ascii="Arial" w:hAnsi="Arial" w:cs="Arial"/>
          <w:b/>
          <w:sz w:val="24"/>
        </w:rPr>
        <w:t xml:space="preserve"> </w:t>
      </w:r>
      <w:r w:rsidR="004A6521" w:rsidRPr="00EF2874">
        <w:rPr>
          <w:rFonts w:ascii="Arial" w:hAnsi="Arial" w:cs="Arial"/>
          <w:b/>
          <w:sz w:val="24"/>
        </w:rPr>
        <w:t>artículo</w:t>
      </w:r>
      <w:r w:rsidR="00361A58" w:rsidRPr="00EF2874">
        <w:rPr>
          <w:rFonts w:ascii="Arial" w:hAnsi="Arial" w:cs="Arial"/>
          <w:b/>
          <w:sz w:val="24"/>
        </w:rPr>
        <w:t xml:space="preserve"> </w:t>
      </w:r>
      <w:r w:rsidR="00BF3F9E" w:rsidRPr="00EF2874">
        <w:rPr>
          <w:rFonts w:ascii="Arial" w:hAnsi="Arial" w:cs="Arial"/>
          <w:b/>
          <w:sz w:val="24"/>
        </w:rPr>
        <w:t>16</w:t>
      </w:r>
      <w:r w:rsidR="00030938">
        <w:rPr>
          <w:rFonts w:ascii="Arial" w:hAnsi="Arial" w:cs="Arial"/>
          <w:sz w:val="24"/>
        </w:rPr>
        <w:t>;</w:t>
      </w:r>
      <w:r w:rsidR="003F7F7D" w:rsidRPr="00EF2874">
        <w:rPr>
          <w:rFonts w:ascii="Arial" w:hAnsi="Arial" w:cs="Arial"/>
          <w:sz w:val="24"/>
        </w:rPr>
        <w:t xml:space="preserve"> </w:t>
      </w:r>
      <w:r w:rsidR="00030938">
        <w:rPr>
          <w:rFonts w:ascii="Arial" w:hAnsi="Arial" w:cs="Arial"/>
          <w:sz w:val="24"/>
        </w:rPr>
        <w:t>también</w:t>
      </w:r>
      <w:r w:rsidR="00644773" w:rsidRPr="00EF2874">
        <w:rPr>
          <w:rFonts w:ascii="Arial" w:hAnsi="Arial" w:cs="Arial"/>
          <w:sz w:val="24"/>
        </w:rPr>
        <w:t xml:space="preserve"> se atenta</w:t>
      </w:r>
      <w:r w:rsidR="001A6CA3">
        <w:rPr>
          <w:rFonts w:ascii="Arial" w:hAnsi="Arial" w:cs="Arial"/>
          <w:sz w:val="24"/>
        </w:rPr>
        <w:t xml:space="preserve"> contra la deontología Constitucional de la Guardia Nacional</w:t>
      </w:r>
      <w:r w:rsidR="00644773" w:rsidRPr="00EF2874">
        <w:rPr>
          <w:rFonts w:ascii="Arial" w:hAnsi="Arial" w:cs="Arial"/>
          <w:sz w:val="24"/>
        </w:rPr>
        <w:t xml:space="preserve"> </w:t>
      </w:r>
      <w:r w:rsidR="001A6CA3">
        <w:rPr>
          <w:rFonts w:ascii="Arial" w:hAnsi="Arial" w:cs="Arial"/>
          <w:sz w:val="24"/>
        </w:rPr>
        <w:t xml:space="preserve">contemplada en el artículo </w:t>
      </w:r>
      <w:r w:rsidR="001A6CA3" w:rsidRPr="001A6CA3">
        <w:rPr>
          <w:rFonts w:ascii="Arial" w:hAnsi="Arial" w:cs="Arial"/>
          <w:b/>
          <w:sz w:val="24"/>
        </w:rPr>
        <w:t>21</w:t>
      </w:r>
      <w:r w:rsidR="008748DE" w:rsidRPr="008748DE">
        <w:rPr>
          <w:rFonts w:ascii="Arial" w:hAnsi="Arial" w:cs="Arial"/>
          <w:sz w:val="24"/>
        </w:rPr>
        <w:t>,</w:t>
      </w:r>
      <w:r w:rsidR="008748DE">
        <w:rPr>
          <w:rFonts w:ascii="Arial" w:hAnsi="Arial" w:cs="Arial"/>
          <w:b/>
          <w:sz w:val="24"/>
        </w:rPr>
        <w:t xml:space="preserve"> </w:t>
      </w:r>
      <w:r w:rsidR="008748DE" w:rsidRPr="008748DE">
        <w:rPr>
          <w:rFonts w:ascii="Arial" w:hAnsi="Arial" w:cs="Arial"/>
          <w:sz w:val="24"/>
        </w:rPr>
        <w:t xml:space="preserve">contravención al párrafo tercero del numeral </w:t>
      </w:r>
      <w:r w:rsidR="008748DE">
        <w:rPr>
          <w:rFonts w:ascii="Arial" w:hAnsi="Arial" w:cs="Arial"/>
          <w:b/>
          <w:sz w:val="24"/>
        </w:rPr>
        <w:t>32</w:t>
      </w:r>
      <w:r w:rsidR="001A6CA3">
        <w:rPr>
          <w:rFonts w:ascii="Arial" w:hAnsi="Arial" w:cs="Arial"/>
          <w:sz w:val="24"/>
        </w:rPr>
        <w:t xml:space="preserve"> y </w:t>
      </w:r>
      <w:r w:rsidR="00644773" w:rsidRPr="00EF2874">
        <w:rPr>
          <w:rFonts w:ascii="Arial" w:hAnsi="Arial" w:cs="Arial"/>
          <w:sz w:val="24"/>
        </w:rPr>
        <w:t xml:space="preserve">contra </w:t>
      </w:r>
      <w:r w:rsidR="00030EDC">
        <w:rPr>
          <w:rFonts w:ascii="Arial" w:hAnsi="Arial" w:cs="Arial"/>
          <w:sz w:val="24"/>
        </w:rPr>
        <w:t xml:space="preserve">los principios de actuación de las fuerzas armadas en tiempos de paz </w:t>
      </w:r>
      <w:r w:rsidR="00644773" w:rsidRPr="00EF2874">
        <w:rPr>
          <w:rFonts w:ascii="Arial" w:hAnsi="Arial" w:cs="Arial"/>
          <w:sz w:val="24"/>
        </w:rPr>
        <w:t>contenido</w:t>
      </w:r>
      <w:r w:rsidR="00343D99">
        <w:rPr>
          <w:rFonts w:ascii="Arial" w:hAnsi="Arial" w:cs="Arial"/>
          <w:sz w:val="24"/>
        </w:rPr>
        <w:t>s</w:t>
      </w:r>
      <w:r w:rsidR="00644773" w:rsidRPr="00EF2874">
        <w:rPr>
          <w:rFonts w:ascii="Arial" w:hAnsi="Arial" w:cs="Arial"/>
          <w:sz w:val="24"/>
        </w:rPr>
        <w:t xml:space="preserve"> en </w:t>
      </w:r>
      <w:r w:rsidR="00343D99">
        <w:rPr>
          <w:rFonts w:ascii="Arial" w:hAnsi="Arial" w:cs="Arial"/>
          <w:sz w:val="24"/>
        </w:rPr>
        <w:t>los</w:t>
      </w:r>
      <w:r w:rsidR="00644773" w:rsidRPr="00EF2874">
        <w:rPr>
          <w:rFonts w:ascii="Arial" w:hAnsi="Arial" w:cs="Arial"/>
          <w:sz w:val="24"/>
        </w:rPr>
        <w:t xml:space="preserve"> artículo</w:t>
      </w:r>
      <w:r w:rsidR="00343D99">
        <w:rPr>
          <w:rFonts w:ascii="Arial" w:hAnsi="Arial" w:cs="Arial"/>
          <w:sz w:val="24"/>
        </w:rPr>
        <w:t>s</w:t>
      </w:r>
      <w:r w:rsidR="00644773" w:rsidRPr="00EF2874">
        <w:rPr>
          <w:rFonts w:ascii="Arial" w:hAnsi="Arial" w:cs="Arial"/>
          <w:sz w:val="24"/>
        </w:rPr>
        <w:t xml:space="preserve"> </w:t>
      </w:r>
      <w:r w:rsidR="0068598D" w:rsidRPr="0068598D">
        <w:rPr>
          <w:rFonts w:ascii="Arial" w:hAnsi="Arial" w:cs="Arial"/>
          <w:b/>
          <w:sz w:val="24"/>
        </w:rPr>
        <w:t>21</w:t>
      </w:r>
      <w:r w:rsidR="0068598D">
        <w:rPr>
          <w:rFonts w:ascii="Arial" w:hAnsi="Arial" w:cs="Arial"/>
          <w:sz w:val="24"/>
        </w:rPr>
        <w:t xml:space="preserve">, </w:t>
      </w:r>
      <w:r w:rsidR="00644773" w:rsidRPr="00EF2874">
        <w:rPr>
          <w:rFonts w:ascii="Arial" w:hAnsi="Arial" w:cs="Arial"/>
          <w:b/>
          <w:bCs/>
          <w:sz w:val="24"/>
        </w:rPr>
        <w:t>2</w:t>
      </w:r>
      <w:r w:rsidR="00030EDC">
        <w:rPr>
          <w:rFonts w:ascii="Arial" w:hAnsi="Arial" w:cs="Arial"/>
          <w:b/>
          <w:bCs/>
          <w:sz w:val="24"/>
        </w:rPr>
        <w:t xml:space="preserve">9, </w:t>
      </w:r>
      <w:r w:rsidR="0097427A">
        <w:rPr>
          <w:rFonts w:ascii="Arial" w:hAnsi="Arial" w:cs="Arial"/>
          <w:b/>
          <w:bCs/>
          <w:sz w:val="24"/>
        </w:rPr>
        <w:t>89,</w:t>
      </w:r>
      <w:r w:rsidR="00DE404A">
        <w:rPr>
          <w:rFonts w:ascii="Arial" w:hAnsi="Arial" w:cs="Arial"/>
          <w:b/>
          <w:bCs/>
          <w:sz w:val="24"/>
        </w:rPr>
        <w:t xml:space="preserve"> 103,</w:t>
      </w:r>
      <w:r w:rsidR="00D803DA">
        <w:rPr>
          <w:rFonts w:ascii="Arial" w:hAnsi="Arial" w:cs="Arial"/>
          <w:b/>
          <w:bCs/>
          <w:sz w:val="24"/>
        </w:rPr>
        <w:t xml:space="preserve"> </w:t>
      </w:r>
      <w:r w:rsidR="00AF0920">
        <w:rPr>
          <w:rFonts w:ascii="Arial" w:hAnsi="Arial" w:cs="Arial"/>
          <w:b/>
          <w:bCs/>
          <w:sz w:val="24"/>
        </w:rPr>
        <w:t xml:space="preserve">107, </w:t>
      </w:r>
      <w:r w:rsidR="00D803DA">
        <w:rPr>
          <w:rFonts w:ascii="Arial" w:hAnsi="Arial" w:cs="Arial"/>
          <w:b/>
          <w:bCs/>
          <w:sz w:val="24"/>
        </w:rPr>
        <w:t>129</w:t>
      </w:r>
      <w:r w:rsidR="0097427A">
        <w:rPr>
          <w:rFonts w:ascii="Arial" w:hAnsi="Arial" w:cs="Arial"/>
          <w:b/>
          <w:bCs/>
          <w:sz w:val="24"/>
        </w:rPr>
        <w:t xml:space="preserve"> </w:t>
      </w:r>
      <w:r w:rsidR="0097427A" w:rsidRPr="0097427A">
        <w:rPr>
          <w:rFonts w:ascii="Arial" w:hAnsi="Arial" w:cs="Arial"/>
          <w:bCs/>
          <w:sz w:val="24"/>
        </w:rPr>
        <w:t>y</w:t>
      </w:r>
      <w:r w:rsidR="0097427A">
        <w:rPr>
          <w:rFonts w:ascii="Arial" w:hAnsi="Arial" w:cs="Arial"/>
          <w:b/>
          <w:bCs/>
          <w:sz w:val="24"/>
        </w:rPr>
        <w:t xml:space="preserve"> 133</w:t>
      </w:r>
      <w:r w:rsidR="00D803DA">
        <w:rPr>
          <w:rFonts w:ascii="Arial" w:hAnsi="Arial" w:cs="Arial"/>
          <w:b/>
          <w:bCs/>
          <w:sz w:val="24"/>
        </w:rPr>
        <w:t xml:space="preserve"> </w:t>
      </w:r>
      <w:r w:rsidR="00D803DA" w:rsidRPr="00D803DA">
        <w:rPr>
          <w:rFonts w:ascii="Arial" w:hAnsi="Arial" w:cs="Arial"/>
          <w:sz w:val="24"/>
        </w:rPr>
        <w:t>Constitucionales</w:t>
      </w:r>
      <w:r w:rsidR="00D803DA">
        <w:rPr>
          <w:rFonts w:ascii="Arial" w:hAnsi="Arial" w:cs="Arial"/>
          <w:b/>
          <w:bCs/>
          <w:sz w:val="24"/>
        </w:rPr>
        <w:t>.</w:t>
      </w:r>
      <w:r w:rsidR="00506F70">
        <w:rPr>
          <w:rFonts w:ascii="Arial" w:hAnsi="Arial" w:cs="Arial"/>
          <w:b/>
          <w:bCs/>
          <w:sz w:val="24"/>
        </w:rPr>
        <w:t xml:space="preserve"> </w:t>
      </w:r>
      <w:r w:rsidR="00D803DA" w:rsidRPr="00030938">
        <w:rPr>
          <w:rFonts w:ascii="Arial" w:hAnsi="Arial" w:cs="Arial"/>
          <w:sz w:val="24"/>
        </w:rPr>
        <w:t>Además, el acto reclamado</w:t>
      </w:r>
      <w:r w:rsidR="00644773" w:rsidRPr="00030938">
        <w:rPr>
          <w:rFonts w:ascii="Arial" w:hAnsi="Arial" w:cs="Arial"/>
          <w:sz w:val="24"/>
        </w:rPr>
        <w:t xml:space="preserve"> </w:t>
      </w:r>
      <w:r w:rsidR="00D803DA" w:rsidRPr="00030938">
        <w:rPr>
          <w:rFonts w:ascii="Arial" w:hAnsi="Arial" w:cs="Arial"/>
          <w:sz w:val="24"/>
        </w:rPr>
        <w:t xml:space="preserve">transgrede </w:t>
      </w:r>
      <w:r w:rsidR="005C1455">
        <w:rPr>
          <w:rFonts w:ascii="Arial" w:hAnsi="Arial" w:cs="Arial"/>
          <w:sz w:val="24"/>
        </w:rPr>
        <w:t>los numerales</w:t>
      </w:r>
      <w:r w:rsidR="00D803DA">
        <w:rPr>
          <w:rFonts w:ascii="Arial" w:hAnsi="Arial" w:cs="Arial"/>
          <w:b/>
          <w:bCs/>
          <w:sz w:val="24"/>
        </w:rPr>
        <w:t xml:space="preserve"> </w:t>
      </w:r>
      <w:r w:rsidR="00030938" w:rsidRPr="0068598D">
        <w:rPr>
          <w:rFonts w:ascii="Arial" w:hAnsi="Arial" w:cs="Arial"/>
          <w:b/>
          <w:sz w:val="24"/>
        </w:rPr>
        <w:t>9</w:t>
      </w:r>
      <w:r w:rsidR="00030938">
        <w:rPr>
          <w:rFonts w:ascii="Arial" w:hAnsi="Arial" w:cs="Arial"/>
          <w:sz w:val="24"/>
        </w:rPr>
        <w:t xml:space="preserve">, </w:t>
      </w:r>
      <w:r w:rsidR="00030938" w:rsidRPr="0068598D">
        <w:rPr>
          <w:rFonts w:ascii="Arial" w:hAnsi="Arial" w:cs="Arial"/>
          <w:b/>
          <w:sz w:val="24"/>
        </w:rPr>
        <w:t>12</w:t>
      </w:r>
      <w:r w:rsidR="00030938">
        <w:rPr>
          <w:rFonts w:ascii="Arial" w:hAnsi="Arial" w:cs="Arial"/>
          <w:sz w:val="24"/>
        </w:rPr>
        <w:t xml:space="preserve">, </w:t>
      </w:r>
      <w:r w:rsidR="00030938" w:rsidRPr="0068598D">
        <w:rPr>
          <w:rFonts w:ascii="Arial" w:hAnsi="Arial" w:cs="Arial"/>
          <w:b/>
          <w:sz w:val="24"/>
        </w:rPr>
        <w:t>19,</w:t>
      </w:r>
      <w:r w:rsidR="00030938">
        <w:rPr>
          <w:rFonts w:ascii="Arial" w:hAnsi="Arial" w:cs="Arial"/>
          <w:sz w:val="24"/>
        </w:rPr>
        <w:t xml:space="preserve"> </w:t>
      </w:r>
      <w:r w:rsidR="00030938" w:rsidRPr="0068598D">
        <w:rPr>
          <w:rFonts w:ascii="Arial" w:hAnsi="Arial" w:cs="Arial"/>
          <w:b/>
          <w:sz w:val="24"/>
        </w:rPr>
        <w:t>21</w:t>
      </w:r>
      <w:r w:rsidR="00030938">
        <w:rPr>
          <w:rFonts w:ascii="Arial" w:hAnsi="Arial" w:cs="Arial"/>
          <w:sz w:val="24"/>
        </w:rPr>
        <w:t xml:space="preserve"> del Pacto Internacional de </w:t>
      </w:r>
      <w:r w:rsidR="007143F6">
        <w:rPr>
          <w:rFonts w:ascii="Arial" w:hAnsi="Arial" w:cs="Arial"/>
          <w:sz w:val="24"/>
        </w:rPr>
        <w:t>Derechos Civiles</w:t>
      </w:r>
      <w:r w:rsidR="00030938">
        <w:rPr>
          <w:rFonts w:ascii="Arial" w:hAnsi="Arial" w:cs="Arial"/>
          <w:sz w:val="24"/>
        </w:rPr>
        <w:t xml:space="preserve"> y Políticos y </w:t>
      </w:r>
      <w:r w:rsidR="00030938" w:rsidRPr="0068598D">
        <w:rPr>
          <w:rFonts w:ascii="Arial" w:hAnsi="Arial" w:cs="Arial"/>
          <w:b/>
          <w:sz w:val="24"/>
        </w:rPr>
        <w:t>5</w:t>
      </w:r>
      <w:r w:rsidR="00030938">
        <w:rPr>
          <w:rFonts w:ascii="Arial" w:hAnsi="Arial" w:cs="Arial"/>
          <w:sz w:val="24"/>
        </w:rPr>
        <w:t xml:space="preserve">, </w:t>
      </w:r>
      <w:r w:rsidR="00030938" w:rsidRPr="0068598D">
        <w:rPr>
          <w:rFonts w:ascii="Arial" w:hAnsi="Arial" w:cs="Arial"/>
          <w:b/>
          <w:sz w:val="24"/>
        </w:rPr>
        <w:t>7,</w:t>
      </w:r>
      <w:r w:rsidR="00030938">
        <w:rPr>
          <w:rFonts w:ascii="Arial" w:hAnsi="Arial" w:cs="Arial"/>
          <w:sz w:val="24"/>
        </w:rPr>
        <w:t xml:space="preserve"> </w:t>
      </w:r>
      <w:r w:rsidR="00030938" w:rsidRPr="0068598D">
        <w:rPr>
          <w:rFonts w:ascii="Arial" w:hAnsi="Arial" w:cs="Arial"/>
          <w:b/>
          <w:sz w:val="24"/>
        </w:rPr>
        <w:t>13</w:t>
      </w:r>
      <w:r w:rsidR="00030938">
        <w:rPr>
          <w:rFonts w:ascii="Arial" w:hAnsi="Arial" w:cs="Arial"/>
          <w:sz w:val="24"/>
        </w:rPr>
        <w:t xml:space="preserve">, </w:t>
      </w:r>
      <w:r w:rsidR="00030938" w:rsidRPr="0068598D">
        <w:rPr>
          <w:rFonts w:ascii="Arial" w:hAnsi="Arial" w:cs="Arial"/>
          <w:b/>
          <w:sz w:val="24"/>
        </w:rPr>
        <w:t>22</w:t>
      </w:r>
      <w:r w:rsidR="00030938">
        <w:rPr>
          <w:rFonts w:ascii="Arial" w:hAnsi="Arial" w:cs="Arial"/>
          <w:sz w:val="24"/>
        </w:rPr>
        <w:t xml:space="preserve"> de la Convención Americana Sobre Derechos Humanos.</w:t>
      </w:r>
    </w:p>
    <w:p w14:paraId="112770DD" w14:textId="77777777" w:rsidR="005115A4" w:rsidRPr="00EF2874" w:rsidRDefault="005115A4" w:rsidP="00F877A2">
      <w:pPr>
        <w:spacing w:after="0"/>
        <w:jc w:val="both"/>
        <w:rPr>
          <w:rFonts w:ascii="Arial" w:hAnsi="Arial" w:cs="Arial"/>
          <w:sz w:val="24"/>
          <w:szCs w:val="24"/>
          <w:highlight w:val="yellow"/>
        </w:rPr>
      </w:pPr>
    </w:p>
    <w:p w14:paraId="31217A45" w14:textId="27C4F52C" w:rsidR="002A06EC" w:rsidRDefault="002A06EC" w:rsidP="003C39B4">
      <w:pPr>
        <w:pStyle w:val="Sangradetextonormal"/>
        <w:spacing w:line="276" w:lineRule="auto"/>
        <w:rPr>
          <w:rFonts w:ascii="Arial" w:hAnsi="Arial" w:cs="Arial"/>
          <w:bCs/>
          <w:sz w:val="24"/>
        </w:rPr>
      </w:pPr>
      <w:r w:rsidRPr="00EF2874">
        <w:rPr>
          <w:rFonts w:ascii="Arial" w:hAnsi="Arial" w:cs="Arial"/>
          <w:b/>
          <w:bCs/>
          <w:sz w:val="24"/>
        </w:rPr>
        <w:t>VI</w:t>
      </w:r>
      <w:r w:rsidR="005C75C4" w:rsidRPr="00EF2874">
        <w:rPr>
          <w:rFonts w:ascii="Arial" w:hAnsi="Arial" w:cs="Arial"/>
          <w:b/>
          <w:bCs/>
          <w:sz w:val="24"/>
        </w:rPr>
        <w:t>I</w:t>
      </w:r>
      <w:r w:rsidRPr="00EF2874">
        <w:rPr>
          <w:rFonts w:ascii="Arial" w:hAnsi="Arial" w:cs="Arial"/>
          <w:b/>
          <w:bCs/>
          <w:sz w:val="24"/>
        </w:rPr>
        <w:t xml:space="preserve">I.- CONCEPTOS DE </w:t>
      </w:r>
      <w:r w:rsidR="00B862C9" w:rsidRPr="00EF2874">
        <w:rPr>
          <w:rFonts w:ascii="Arial" w:hAnsi="Arial" w:cs="Arial"/>
          <w:b/>
          <w:bCs/>
          <w:sz w:val="24"/>
        </w:rPr>
        <w:t>VIOLACIÓN. -</w:t>
      </w:r>
      <w:r w:rsidRPr="00EF2874">
        <w:rPr>
          <w:rFonts w:ascii="Arial" w:hAnsi="Arial" w:cs="Arial"/>
          <w:b/>
          <w:bCs/>
          <w:sz w:val="24"/>
        </w:rPr>
        <w:t xml:space="preserve"> </w:t>
      </w:r>
      <w:r w:rsidRPr="00EF2874">
        <w:rPr>
          <w:rFonts w:ascii="Arial" w:hAnsi="Arial" w:cs="Arial"/>
          <w:bCs/>
          <w:sz w:val="24"/>
        </w:rPr>
        <w:t xml:space="preserve">A </w:t>
      </w:r>
      <w:r w:rsidR="007143F6" w:rsidRPr="00EF2874">
        <w:rPr>
          <w:rFonts w:ascii="Arial" w:hAnsi="Arial" w:cs="Arial"/>
          <w:bCs/>
          <w:sz w:val="24"/>
        </w:rPr>
        <w:t>continuación,</w:t>
      </w:r>
      <w:r w:rsidRPr="00EF2874">
        <w:rPr>
          <w:rFonts w:ascii="Arial" w:hAnsi="Arial" w:cs="Arial"/>
          <w:bCs/>
          <w:sz w:val="24"/>
        </w:rPr>
        <w:t xml:space="preserve"> expr</w:t>
      </w:r>
      <w:r w:rsidR="00AA0062" w:rsidRPr="00EF2874">
        <w:rPr>
          <w:rFonts w:ascii="Arial" w:hAnsi="Arial" w:cs="Arial"/>
          <w:bCs/>
          <w:sz w:val="24"/>
        </w:rPr>
        <w:t xml:space="preserve">eso los </w:t>
      </w:r>
      <w:r w:rsidR="003E607D" w:rsidRPr="00EF2874">
        <w:rPr>
          <w:rFonts w:ascii="Arial" w:hAnsi="Arial" w:cs="Arial"/>
          <w:bCs/>
          <w:sz w:val="24"/>
        </w:rPr>
        <w:t>argumentos</w:t>
      </w:r>
      <w:r w:rsidR="00AA0062" w:rsidRPr="00EF2874">
        <w:rPr>
          <w:rFonts w:ascii="Arial" w:hAnsi="Arial" w:cs="Arial"/>
          <w:bCs/>
          <w:sz w:val="24"/>
        </w:rPr>
        <w:t xml:space="preserve"> lógicos y</w:t>
      </w:r>
      <w:r w:rsidRPr="00EF2874">
        <w:rPr>
          <w:rFonts w:ascii="Arial" w:hAnsi="Arial" w:cs="Arial"/>
          <w:bCs/>
          <w:sz w:val="24"/>
        </w:rPr>
        <w:t xml:space="preserve"> jurídicos por </w:t>
      </w:r>
      <w:r w:rsidR="006E6224" w:rsidRPr="00EF2874">
        <w:rPr>
          <w:rFonts w:ascii="Arial" w:hAnsi="Arial" w:cs="Arial"/>
          <w:bCs/>
          <w:sz w:val="24"/>
        </w:rPr>
        <w:t>medio de los cuales demuestro que los actos reclamados</w:t>
      </w:r>
      <w:r w:rsidRPr="00EF2874">
        <w:rPr>
          <w:rFonts w:ascii="Arial" w:hAnsi="Arial" w:cs="Arial"/>
          <w:bCs/>
          <w:sz w:val="24"/>
        </w:rPr>
        <w:t xml:space="preserve"> son violatorios de </w:t>
      </w:r>
      <w:r w:rsidR="005C75C4" w:rsidRPr="00EF2874">
        <w:rPr>
          <w:rFonts w:ascii="Arial" w:hAnsi="Arial" w:cs="Arial"/>
          <w:bCs/>
          <w:sz w:val="24"/>
        </w:rPr>
        <w:t xml:space="preserve">los derechos </w:t>
      </w:r>
      <w:r w:rsidR="003F7F7D" w:rsidRPr="00EF2874">
        <w:rPr>
          <w:rFonts w:ascii="Arial" w:hAnsi="Arial" w:cs="Arial"/>
          <w:bCs/>
          <w:sz w:val="24"/>
        </w:rPr>
        <w:t xml:space="preserve">humanos reconocidos </w:t>
      </w:r>
      <w:r w:rsidR="006E6224" w:rsidRPr="00EF2874">
        <w:rPr>
          <w:rFonts w:ascii="Arial" w:hAnsi="Arial" w:cs="Arial"/>
          <w:bCs/>
          <w:sz w:val="24"/>
        </w:rPr>
        <w:t>en la Constitución Mexicana</w:t>
      </w:r>
      <w:r w:rsidR="0039625E">
        <w:rPr>
          <w:rFonts w:ascii="Arial" w:hAnsi="Arial" w:cs="Arial"/>
          <w:bCs/>
          <w:sz w:val="24"/>
        </w:rPr>
        <w:t>,</w:t>
      </w:r>
      <w:r w:rsidR="003F7F7D" w:rsidRPr="00EF2874">
        <w:rPr>
          <w:rFonts w:ascii="Arial" w:hAnsi="Arial" w:cs="Arial"/>
          <w:bCs/>
          <w:sz w:val="24"/>
        </w:rPr>
        <w:t xml:space="preserve"> la Convención Americana sobre Derecho</w:t>
      </w:r>
      <w:r w:rsidR="00B653B3" w:rsidRPr="00EF2874">
        <w:rPr>
          <w:rFonts w:ascii="Arial" w:hAnsi="Arial" w:cs="Arial"/>
          <w:bCs/>
          <w:sz w:val="24"/>
        </w:rPr>
        <w:t>s Humanos</w:t>
      </w:r>
      <w:r w:rsidR="0039625E">
        <w:rPr>
          <w:rFonts w:ascii="Arial" w:hAnsi="Arial" w:cs="Arial"/>
          <w:bCs/>
          <w:sz w:val="24"/>
        </w:rPr>
        <w:t xml:space="preserve"> y Pacto Internacional de Derechos Civiles y Políticos</w:t>
      </w:r>
      <w:r w:rsidR="00E918F4">
        <w:rPr>
          <w:rFonts w:ascii="Arial" w:hAnsi="Arial" w:cs="Arial"/>
          <w:bCs/>
          <w:sz w:val="24"/>
        </w:rPr>
        <w:t xml:space="preserve">, los cuales deberán estudiarse en su integridad con exhaustividad y congruencia, </w:t>
      </w:r>
      <w:r w:rsidR="00D71794">
        <w:rPr>
          <w:rFonts w:ascii="Arial" w:hAnsi="Arial" w:cs="Arial"/>
          <w:bCs/>
          <w:sz w:val="24"/>
        </w:rPr>
        <w:t xml:space="preserve">atendiendo a la causa de pedir, </w:t>
      </w:r>
      <w:r w:rsidR="00E918F4">
        <w:rPr>
          <w:rFonts w:ascii="Arial" w:hAnsi="Arial" w:cs="Arial"/>
          <w:bCs/>
          <w:sz w:val="24"/>
        </w:rPr>
        <w:t>sirve</w:t>
      </w:r>
      <w:r w:rsidR="00D71794">
        <w:rPr>
          <w:rFonts w:ascii="Arial" w:hAnsi="Arial" w:cs="Arial"/>
          <w:bCs/>
          <w:sz w:val="24"/>
        </w:rPr>
        <w:t>n</w:t>
      </w:r>
      <w:r w:rsidR="00E918F4">
        <w:rPr>
          <w:rFonts w:ascii="Arial" w:hAnsi="Arial" w:cs="Arial"/>
          <w:bCs/>
          <w:sz w:val="24"/>
        </w:rPr>
        <w:t xml:space="preserve"> de apoyo a lo anterior la</w:t>
      </w:r>
      <w:r w:rsidR="00D71794">
        <w:rPr>
          <w:rFonts w:ascii="Arial" w:hAnsi="Arial" w:cs="Arial"/>
          <w:bCs/>
          <w:sz w:val="24"/>
        </w:rPr>
        <w:t>s</w:t>
      </w:r>
      <w:r w:rsidR="00E918F4">
        <w:rPr>
          <w:rFonts w:ascii="Arial" w:hAnsi="Arial" w:cs="Arial"/>
          <w:bCs/>
          <w:sz w:val="24"/>
        </w:rPr>
        <w:t xml:space="preserve"> siguiente</w:t>
      </w:r>
      <w:r w:rsidR="00D71794">
        <w:rPr>
          <w:rFonts w:ascii="Arial" w:hAnsi="Arial" w:cs="Arial"/>
          <w:bCs/>
          <w:sz w:val="24"/>
        </w:rPr>
        <w:t>s</w:t>
      </w:r>
      <w:r w:rsidR="00E918F4">
        <w:rPr>
          <w:rFonts w:ascii="Arial" w:hAnsi="Arial" w:cs="Arial"/>
          <w:bCs/>
          <w:sz w:val="24"/>
        </w:rPr>
        <w:t xml:space="preserve"> jurisprudencia</w:t>
      </w:r>
      <w:r w:rsidR="00D71794">
        <w:rPr>
          <w:rFonts w:ascii="Arial" w:hAnsi="Arial" w:cs="Arial"/>
          <w:bCs/>
          <w:sz w:val="24"/>
        </w:rPr>
        <w:t>s de rubro y texto siguientes</w:t>
      </w:r>
      <w:r w:rsidR="00E918F4">
        <w:rPr>
          <w:rFonts w:ascii="Arial" w:hAnsi="Arial" w:cs="Arial"/>
          <w:bCs/>
          <w:sz w:val="24"/>
        </w:rPr>
        <w:t>:</w:t>
      </w:r>
    </w:p>
    <w:p w14:paraId="287B9C3D" w14:textId="77777777" w:rsidR="00E918F4" w:rsidRPr="00E918F4" w:rsidRDefault="00E918F4" w:rsidP="00E918F4">
      <w:pPr>
        <w:pStyle w:val="Sangradetextonormal"/>
        <w:rPr>
          <w:rFonts w:ascii="Arial" w:hAnsi="Arial" w:cs="Arial"/>
          <w:bCs/>
          <w:sz w:val="24"/>
        </w:rPr>
      </w:pPr>
    </w:p>
    <w:p w14:paraId="78BE7454" w14:textId="2DF5F3A4" w:rsidR="00E918F4" w:rsidRPr="00D83422" w:rsidRDefault="00D83422" w:rsidP="00D83422">
      <w:pPr>
        <w:pStyle w:val="Sangradetextonormal"/>
        <w:ind w:left="708" w:firstLine="0"/>
        <w:rPr>
          <w:rFonts w:ascii="Arial" w:hAnsi="Arial" w:cs="Arial"/>
          <w:bCs/>
          <w:i/>
          <w:sz w:val="22"/>
        </w:rPr>
      </w:pPr>
      <w:r>
        <w:rPr>
          <w:rFonts w:ascii="Arial" w:hAnsi="Arial" w:cs="Arial"/>
          <w:b/>
          <w:bCs/>
          <w:i/>
          <w:sz w:val="22"/>
        </w:rPr>
        <w:t>“</w:t>
      </w:r>
      <w:r w:rsidR="00E918F4" w:rsidRPr="00D83422">
        <w:rPr>
          <w:rFonts w:ascii="Arial" w:hAnsi="Arial" w:cs="Arial"/>
          <w:b/>
          <w:bCs/>
          <w:i/>
          <w:sz w:val="22"/>
        </w:rPr>
        <w:t>CONCEPTOS DE VIOLACIÓN. LO SON TODOS AQUELLOS RAZONAMIENTOS QUE SE CONTENGAN EN LA DEMANDA DE GARANTÍAS Y QUE TIENDAN A DEMOSTRAR LA CONTRAVENCIÓN DEL ACTO RECLAMADO A LOS PRECEPTOS CONSTITUCIONALES QUE SE ESTIMAN TRANSGREDIDOS, AUNQUE NO SE ENCUENTREN EN EL CAPÍTULO RELATIVO</w:t>
      </w:r>
      <w:r w:rsidR="00E918F4" w:rsidRPr="00D83422">
        <w:rPr>
          <w:rFonts w:ascii="Arial" w:hAnsi="Arial" w:cs="Arial"/>
          <w:bCs/>
          <w:i/>
          <w:sz w:val="22"/>
        </w:rPr>
        <w:t>. El artículo 116, fracción V, de la Ley de Amparo no exige que los conceptos de violación se expresen con determinadas formalidades indispensables, ya que basta considerar que la demanda de amparo es un todo que debe analizarse en su conjunto; de ahí que deban estimarse como conceptos de violación todos aquellos razonamientos que se contengan en la demanda de garantías que tiendan a demostrar la contravención del acto reclamado a los preceptos constitucionales que se estiman transgredidos, aunque no se encuentren en el capítulo relativo; esto es, deben examinarse todos y cada uno de los capítulos que se contengan en la demanda para determinar la existencia de conceptos de violación y analizarlos al dictar la sentencia respectiva y no limitarse únicamente al capítulo relativo</w:t>
      </w:r>
      <w:r>
        <w:rPr>
          <w:rFonts w:ascii="Arial" w:hAnsi="Arial" w:cs="Arial"/>
          <w:bCs/>
          <w:i/>
          <w:sz w:val="22"/>
        </w:rPr>
        <w:t>”</w:t>
      </w:r>
      <w:r w:rsidR="00E918F4" w:rsidRPr="00D83422">
        <w:rPr>
          <w:rStyle w:val="Refdenotaalpie"/>
          <w:rFonts w:ascii="Arial" w:hAnsi="Arial" w:cs="Arial"/>
          <w:bCs/>
          <w:i/>
          <w:sz w:val="22"/>
        </w:rPr>
        <w:footnoteReference w:id="31"/>
      </w:r>
    </w:p>
    <w:p w14:paraId="3D81AF8E" w14:textId="77777777" w:rsidR="00E918F4" w:rsidRPr="00E918F4" w:rsidRDefault="00E918F4" w:rsidP="00E918F4">
      <w:pPr>
        <w:pStyle w:val="Sangradetextonormal"/>
        <w:rPr>
          <w:rFonts w:ascii="Arial" w:hAnsi="Arial" w:cs="Arial"/>
          <w:bCs/>
          <w:sz w:val="24"/>
        </w:rPr>
      </w:pPr>
    </w:p>
    <w:p w14:paraId="1D2191A9" w14:textId="361F63B0" w:rsidR="00D71794" w:rsidRPr="00113BEB" w:rsidRDefault="00D71794" w:rsidP="00113BEB">
      <w:pPr>
        <w:spacing w:before="240"/>
        <w:ind w:left="708" w:right="49"/>
        <w:jc w:val="both"/>
        <w:rPr>
          <w:rFonts w:ascii="Arial" w:hAnsi="Arial" w:cs="Arial"/>
          <w:bCs/>
          <w:szCs w:val="24"/>
        </w:rPr>
      </w:pPr>
      <w:r w:rsidRPr="00113BEB">
        <w:rPr>
          <w:rFonts w:ascii="Arial" w:hAnsi="Arial" w:cs="Arial"/>
          <w:b/>
          <w:bCs/>
          <w:i/>
          <w:szCs w:val="24"/>
        </w:rPr>
        <w:t xml:space="preserve">“CONCEPTOS DE VIOLACIÓN. PARA QUE SE ESTUDIEN, BASTA CON EXPRESAR CLARAMENTE EN LA DEMANDA DE GARANTÍAS LA CAUSA DE PEDIR. </w:t>
      </w:r>
      <w:r w:rsidRPr="00113BEB">
        <w:rPr>
          <w:rFonts w:ascii="Arial" w:hAnsi="Arial" w:cs="Arial"/>
          <w:bCs/>
          <w:i/>
          <w:szCs w:val="24"/>
        </w:rPr>
        <w:t xml:space="preserve">El Pleno de la Suprema Corte de Justicia de la Nación considera que debe abandonarse la tesis jurisprudencial que lleva por rubro "CONCEPTOS DE VIOLACIÓN. REQUISITOS LÓGICOS Y JURÍDICOS QUE DEBEN REUNIR.", en la que, se exigía que el concepto de violación, para ser tal, debía presentarse como un verdadero silogismo, siendo la premisa mayor el precepto constitucional violado, la premisa menor los actos autoritarios reclamados y la conclusión la contraposición entre aquéllas, demostrando así, jurídicamente, la inconstitucionalidad de los actos reclamados. Las razones de la separación de ese criterio radican en que, por una parte, los artículos 116 y 166 de la Ley de Amparo no exigen como requisito esencial e imprescindible, que la expresión de los conceptos de violación se haga con formalidades tan rígidas y </w:t>
      </w:r>
      <w:r w:rsidRPr="00113BEB">
        <w:rPr>
          <w:rFonts w:ascii="Arial" w:hAnsi="Arial" w:cs="Arial"/>
          <w:bCs/>
          <w:i/>
          <w:szCs w:val="24"/>
        </w:rPr>
        <w:lastRenderedPageBreak/>
        <w:t>solemnes como las que establecía la aludida jurisprudencia y, por otra, que como la demanda de amparo no debe examinarse por sus partes aisladas, sino considerarse en su conjunto, es razonable que deban tenerse como conceptos de violación todos los razonamientos que, con tal contenido, aparezcan en la demanda, aunque no estén en el capítulo relativo y aunque no guarden un apego estricto a la forma lógica del silogismo, sino que será suficiente que en alguna parte del escrito se exprese con claridad la causa de pedir, señalándose cuál es la lesión o agravio que el quejoso estima le causa el acto, resolución o ley impugnada</w:t>
      </w:r>
      <w:r w:rsidRPr="00113BEB">
        <w:rPr>
          <w:rFonts w:ascii="Arial" w:hAnsi="Arial" w:cs="Arial"/>
          <w:bCs/>
          <w:szCs w:val="24"/>
        </w:rPr>
        <w:t xml:space="preserve"> y los motivos que originaron ese agravio, para que el Juez de amparo deba estudiarlo”</w:t>
      </w:r>
      <w:r w:rsidRPr="00113BEB">
        <w:rPr>
          <w:rStyle w:val="Refdenotaalpie"/>
          <w:rFonts w:ascii="Arial" w:hAnsi="Arial" w:cs="Arial"/>
          <w:bCs/>
          <w:szCs w:val="24"/>
        </w:rPr>
        <w:footnoteReference w:id="32"/>
      </w:r>
    </w:p>
    <w:p w14:paraId="35B9BBB9" w14:textId="2639047F" w:rsidR="00E321AC" w:rsidRDefault="00B862C9" w:rsidP="00E321AC">
      <w:pPr>
        <w:spacing w:before="240"/>
        <w:ind w:right="49"/>
        <w:jc w:val="both"/>
        <w:rPr>
          <w:rFonts w:ascii="Arial" w:hAnsi="Arial" w:cs="Arial"/>
          <w:b/>
          <w:sz w:val="24"/>
          <w:szCs w:val="24"/>
        </w:rPr>
      </w:pPr>
      <w:r>
        <w:rPr>
          <w:rFonts w:ascii="Arial" w:hAnsi="Arial" w:cs="Arial"/>
          <w:b/>
          <w:bCs/>
          <w:sz w:val="24"/>
          <w:szCs w:val="24"/>
        </w:rPr>
        <w:tab/>
      </w:r>
      <w:r w:rsidR="00F05CEF" w:rsidRPr="00C15300">
        <w:rPr>
          <w:rFonts w:ascii="Arial" w:hAnsi="Arial" w:cs="Arial"/>
          <w:b/>
          <w:bCs/>
          <w:sz w:val="24"/>
          <w:szCs w:val="24"/>
        </w:rPr>
        <w:t>PRIMERO.</w:t>
      </w:r>
      <w:r w:rsidR="00F05CEF" w:rsidRPr="00F37259">
        <w:rPr>
          <w:rFonts w:ascii="Arial" w:hAnsi="Arial" w:cs="Arial"/>
          <w:b/>
          <w:bCs/>
          <w:sz w:val="24"/>
          <w:szCs w:val="24"/>
        </w:rPr>
        <w:t xml:space="preserve"> </w:t>
      </w:r>
      <w:r w:rsidR="006C3FF3">
        <w:rPr>
          <w:rFonts w:ascii="Arial" w:hAnsi="Arial" w:cs="Arial"/>
          <w:b/>
          <w:bCs/>
          <w:sz w:val="24"/>
          <w:szCs w:val="24"/>
        </w:rPr>
        <w:t xml:space="preserve">En cuanto al carácter civil que ordena la Constitución respecto de la Guardia Nacional. </w:t>
      </w:r>
      <w:r w:rsidR="00E321AC" w:rsidRPr="00E321AC">
        <w:rPr>
          <w:rFonts w:ascii="Arial" w:hAnsi="Arial" w:cs="Arial"/>
          <w:bCs/>
          <w:sz w:val="24"/>
          <w:szCs w:val="24"/>
        </w:rPr>
        <w:t xml:space="preserve">Las normas generales reclamadas transgreden en nuestro perjuicio el artículo </w:t>
      </w:r>
      <w:r w:rsidR="00E321AC" w:rsidRPr="00E321AC">
        <w:rPr>
          <w:rFonts w:ascii="Arial" w:hAnsi="Arial" w:cs="Arial"/>
          <w:b/>
          <w:sz w:val="24"/>
          <w:szCs w:val="24"/>
        </w:rPr>
        <w:t>21</w:t>
      </w:r>
      <w:r w:rsidR="00F555A3">
        <w:rPr>
          <w:rFonts w:ascii="Arial" w:hAnsi="Arial" w:cs="Arial"/>
          <w:sz w:val="24"/>
          <w:szCs w:val="24"/>
        </w:rPr>
        <w:t xml:space="preserve"> </w:t>
      </w:r>
      <w:r w:rsidR="00E321AC" w:rsidRPr="00E321AC">
        <w:rPr>
          <w:rFonts w:ascii="Arial" w:hAnsi="Arial" w:cs="Arial"/>
          <w:sz w:val="24"/>
          <w:szCs w:val="24"/>
        </w:rPr>
        <w:t xml:space="preserve">de la Constitución Política </w:t>
      </w:r>
      <w:r w:rsidR="00F555A3">
        <w:rPr>
          <w:rFonts w:ascii="Arial" w:hAnsi="Arial" w:cs="Arial"/>
          <w:sz w:val="24"/>
          <w:szCs w:val="24"/>
        </w:rPr>
        <w:t xml:space="preserve">de los Estados Unidos Mexicanos, en especial el párrafo </w:t>
      </w:r>
      <w:r w:rsidR="006C3FF3">
        <w:rPr>
          <w:rFonts w:ascii="Arial" w:hAnsi="Arial" w:cs="Arial"/>
          <w:sz w:val="24"/>
          <w:szCs w:val="24"/>
        </w:rPr>
        <w:t>decimo y décimo sexto</w:t>
      </w:r>
      <w:r w:rsidR="00533D3F">
        <w:rPr>
          <w:rFonts w:ascii="Arial" w:hAnsi="Arial" w:cs="Arial"/>
          <w:sz w:val="24"/>
          <w:szCs w:val="24"/>
        </w:rPr>
        <w:t>, como se demostrará a continuación</w:t>
      </w:r>
      <w:r w:rsidR="00E321AC">
        <w:rPr>
          <w:rFonts w:ascii="Arial" w:hAnsi="Arial" w:cs="Arial"/>
          <w:sz w:val="24"/>
          <w:szCs w:val="24"/>
        </w:rPr>
        <w:t>:</w:t>
      </w:r>
    </w:p>
    <w:p w14:paraId="788F0B71" w14:textId="4F476C59" w:rsidR="00E321AC" w:rsidRPr="006C3FF3" w:rsidRDefault="00E321AC" w:rsidP="00E321AC">
      <w:pPr>
        <w:spacing w:before="240"/>
        <w:ind w:left="708" w:right="49"/>
        <w:jc w:val="both"/>
        <w:rPr>
          <w:rFonts w:ascii="Arial" w:hAnsi="Arial" w:cs="Arial"/>
          <w:i/>
        </w:rPr>
      </w:pPr>
      <w:r w:rsidRPr="006C3FF3">
        <w:rPr>
          <w:rFonts w:ascii="Arial" w:hAnsi="Arial" w:cs="Arial"/>
          <w:i/>
        </w:rPr>
        <w:t xml:space="preserve"> “</w:t>
      </w:r>
      <w:r w:rsidRPr="006C3FF3">
        <w:rPr>
          <w:rFonts w:ascii="Arial" w:hAnsi="Arial" w:cs="Arial"/>
          <w:b/>
          <w:i/>
        </w:rPr>
        <w:t>Artículo 21</w:t>
      </w:r>
      <w:r w:rsidRPr="006C3FF3">
        <w:rPr>
          <w:rFonts w:ascii="Arial" w:hAnsi="Arial" w:cs="Arial"/>
          <w:i/>
        </w:rPr>
        <w:t xml:space="preserve">. La investigación de los delitos corresponde al Ministerio Público y a las policías, las cuales actuarán bajo la conducción y mando de aquél en el ejercicio de esta función. </w:t>
      </w:r>
    </w:p>
    <w:p w14:paraId="22B6F440" w14:textId="77777777" w:rsidR="00E321AC" w:rsidRPr="006C3FF3" w:rsidRDefault="00E321AC" w:rsidP="00E321AC">
      <w:pPr>
        <w:ind w:left="708"/>
        <w:jc w:val="both"/>
        <w:rPr>
          <w:rFonts w:ascii="Arial" w:hAnsi="Arial" w:cs="Arial"/>
          <w:i/>
        </w:rPr>
      </w:pPr>
      <w:r w:rsidRPr="006C3FF3">
        <w:rPr>
          <w:rFonts w:ascii="Arial" w:hAnsi="Arial" w:cs="Arial"/>
          <w:i/>
        </w:rPr>
        <w:t xml:space="preserve">El ejercicio de la acción penal ante los tribunales corresponde al Ministerio Público. La ley determinará los casos en que los particulares podrán ejercer la acción penal ante la autoridad judicial. </w:t>
      </w:r>
    </w:p>
    <w:p w14:paraId="5FC4FB03" w14:textId="77777777" w:rsidR="00E321AC" w:rsidRPr="006C3FF3" w:rsidRDefault="00E321AC" w:rsidP="00E321AC">
      <w:pPr>
        <w:ind w:left="708"/>
        <w:jc w:val="both"/>
        <w:rPr>
          <w:rFonts w:ascii="Arial" w:hAnsi="Arial" w:cs="Arial"/>
          <w:i/>
        </w:rPr>
      </w:pPr>
      <w:r w:rsidRPr="006C3FF3">
        <w:rPr>
          <w:rFonts w:ascii="Arial" w:hAnsi="Arial" w:cs="Arial"/>
          <w:i/>
        </w:rPr>
        <w:t xml:space="preserve">La imposición de las penas, su modificación y duración son propias y exclusivas de la autoridad judicial. </w:t>
      </w:r>
    </w:p>
    <w:p w14:paraId="22DE9209" w14:textId="77777777" w:rsidR="00E321AC" w:rsidRPr="006C3FF3" w:rsidRDefault="00E321AC" w:rsidP="00E321AC">
      <w:pPr>
        <w:ind w:left="708"/>
        <w:jc w:val="both"/>
        <w:rPr>
          <w:rFonts w:ascii="Arial" w:hAnsi="Arial" w:cs="Arial"/>
          <w:i/>
        </w:rPr>
      </w:pPr>
      <w:r w:rsidRPr="006C3FF3">
        <w:rPr>
          <w:rFonts w:ascii="Arial" w:hAnsi="Arial" w:cs="Arial"/>
          <w:i/>
        </w:rPr>
        <w:t xml:space="preserve">Compete a la autoridad administrativa la aplicación de sanciones por las infracciones de los reglamentos gubernativos y de policía, las que únicamente consistirán en multa, arresto hasta por treinta y seis horas o en trabajo a favor de la comunidad; pero si el infractor no pagare la multa que se le hubiese impuesto, se permutará esta por el arresto correspondiente, que no excederá en ningún caso de treinta y seis horas. </w:t>
      </w:r>
    </w:p>
    <w:p w14:paraId="4F9524FB" w14:textId="77777777" w:rsidR="00E321AC" w:rsidRPr="006C3FF3" w:rsidRDefault="00E321AC" w:rsidP="00E321AC">
      <w:pPr>
        <w:ind w:left="708"/>
        <w:jc w:val="both"/>
        <w:rPr>
          <w:rFonts w:ascii="Arial" w:hAnsi="Arial" w:cs="Arial"/>
          <w:i/>
        </w:rPr>
      </w:pPr>
      <w:r w:rsidRPr="006C3FF3">
        <w:rPr>
          <w:rFonts w:ascii="Arial" w:hAnsi="Arial" w:cs="Arial"/>
          <w:i/>
        </w:rPr>
        <w:t xml:space="preserve">Si el infractor de los reglamentos gubernativos y de policía fuese jornalero, obrero o trabajador, no podrá ser sancionado con multa mayor del importe de su jornal o salario de un día. </w:t>
      </w:r>
    </w:p>
    <w:p w14:paraId="27B8967D" w14:textId="77777777" w:rsidR="00E321AC" w:rsidRPr="006C3FF3" w:rsidRDefault="00E321AC" w:rsidP="00E321AC">
      <w:pPr>
        <w:ind w:left="708"/>
        <w:jc w:val="both"/>
        <w:rPr>
          <w:rFonts w:ascii="Arial" w:hAnsi="Arial" w:cs="Arial"/>
          <w:i/>
        </w:rPr>
      </w:pPr>
      <w:r w:rsidRPr="006C3FF3">
        <w:rPr>
          <w:rFonts w:ascii="Arial" w:hAnsi="Arial" w:cs="Arial"/>
          <w:i/>
        </w:rPr>
        <w:t xml:space="preserve">Tratándose de trabajadores no asalariados, la multa que se imponga por infracción de los reglamentos gubernativos y de policía, no excederá del equivalente a un día de su ingreso. </w:t>
      </w:r>
    </w:p>
    <w:p w14:paraId="6F720310" w14:textId="77777777" w:rsidR="00E321AC" w:rsidRPr="006C3FF3" w:rsidRDefault="00E321AC" w:rsidP="00E321AC">
      <w:pPr>
        <w:ind w:left="708"/>
        <w:jc w:val="both"/>
        <w:rPr>
          <w:rFonts w:ascii="Arial" w:hAnsi="Arial" w:cs="Arial"/>
          <w:i/>
        </w:rPr>
      </w:pPr>
      <w:r w:rsidRPr="006C3FF3">
        <w:rPr>
          <w:rFonts w:ascii="Arial" w:hAnsi="Arial" w:cs="Arial"/>
          <w:i/>
        </w:rPr>
        <w:t xml:space="preserve">El Ministerio Público podrá considerar criterios de oportunidad para el ejercicio de la acción penal, en los supuestos y condiciones que fije la ley. </w:t>
      </w:r>
    </w:p>
    <w:p w14:paraId="03EC6BDC" w14:textId="77777777" w:rsidR="00E321AC" w:rsidRPr="006C3FF3" w:rsidRDefault="00E321AC" w:rsidP="00E321AC">
      <w:pPr>
        <w:ind w:left="708"/>
        <w:jc w:val="both"/>
        <w:rPr>
          <w:rFonts w:ascii="Arial" w:hAnsi="Arial" w:cs="Arial"/>
          <w:i/>
        </w:rPr>
      </w:pPr>
      <w:r w:rsidRPr="006C3FF3">
        <w:rPr>
          <w:rFonts w:ascii="Arial" w:hAnsi="Arial" w:cs="Arial"/>
          <w:i/>
        </w:rPr>
        <w:t xml:space="preserve">El Ejecutivo Federal podrá, con la aprobación del Senado en cada caso, reconocer la jurisdicción de la Corte Penal Internacional. </w:t>
      </w:r>
    </w:p>
    <w:p w14:paraId="1FF291E5" w14:textId="77777777" w:rsidR="00E321AC" w:rsidRPr="00104388" w:rsidRDefault="00E321AC" w:rsidP="00E321AC">
      <w:pPr>
        <w:ind w:left="708"/>
        <w:jc w:val="both"/>
        <w:rPr>
          <w:rFonts w:ascii="Arial" w:hAnsi="Arial" w:cs="Arial"/>
          <w:i/>
        </w:rPr>
      </w:pPr>
      <w:r w:rsidRPr="00104388">
        <w:rPr>
          <w:rFonts w:ascii="Arial" w:hAnsi="Arial" w:cs="Arial"/>
          <w:i/>
        </w:rPr>
        <w:t xml:space="preserve">La seguridad pública es una función del Estado a cargo de la Federación, las entidades federativas y los Municipios, cuyos fines son salvaguardar la vida, las libertades, la integridad y el patrimonio de las personas, así como contribuir a la generación y preservación del orden público y la paz social, de conformidad con lo previsto en esta Constitución y las leyes en la materia. La seguridad pública comprende la prevención, investigación y persecución de los delitos,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honradez y respeto a los derechos humanos reconocidos en esta Constitución. </w:t>
      </w:r>
    </w:p>
    <w:p w14:paraId="37D3AFCB" w14:textId="77777777" w:rsidR="00E321AC" w:rsidRPr="00E321AC" w:rsidRDefault="00E321AC" w:rsidP="00E321AC">
      <w:pPr>
        <w:ind w:left="708"/>
        <w:jc w:val="both"/>
        <w:rPr>
          <w:rFonts w:ascii="Arial" w:hAnsi="Arial" w:cs="Arial"/>
          <w:i/>
        </w:rPr>
      </w:pPr>
      <w:r w:rsidRPr="00104388">
        <w:rPr>
          <w:rFonts w:ascii="Arial" w:hAnsi="Arial" w:cs="Arial"/>
          <w:b/>
          <w:i/>
          <w:u w:val="single"/>
        </w:rPr>
        <w:t>Las instituciones de seguridad pública, incluyendo la Guardia Nacional, serán de carácter civil, disciplinado y profesional</w:t>
      </w:r>
      <w:r w:rsidRPr="00E321AC">
        <w:rPr>
          <w:rFonts w:ascii="Arial" w:hAnsi="Arial" w:cs="Arial"/>
          <w:i/>
        </w:rPr>
        <w:t xml:space="preserve">. El Ministerio Público y las instituciones </w:t>
      </w:r>
      <w:r w:rsidRPr="00E321AC">
        <w:rPr>
          <w:rFonts w:ascii="Arial" w:hAnsi="Arial" w:cs="Arial"/>
          <w:i/>
        </w:rPr>
        <w:lastRenderedPageBreak/>
        <w:t xml:space="preserve">policiales de los tres órdenes de gobierno deberán coordinarse entre sí para cumplir los fines de la seguridad pública y conformarán el Sistema Nacional de Seguridad Pública, que estará sujeto a las siguientes bases mínimas: </w:t>
      </w:r>
    </w:p>
    <w:p w14:paraId="4F0BE207" w14:textId="77777777" w:rsidR="00E321AC" w:rsidRPr="00E321AC" w:rsidRDefault="00E321AC" w:rsidP="00E321AC">
      <w:pPr>
        <w:ind w:left="708"/>
        <w:jc w:val="both"/>
        <w:rPr>
          <w:rFonts w:ascii="Arial" w:hAnsi="Arial" w:cs="Arial"/>
          <w:i/>
        </w:rPr>
      </w:pPr>
      <w:r w:rsidRPr="00E321AC">
        <w:rPr>
          <w:rFonts w:ascii="Arial" w:hAnsi="Arial" w:cs="Arial"/>
          <w:i/>
        </w:rPr>
        <w:t>a) La regulación de la selección, ingreso, formación, permanencia, evaluación, reconocimiento y certificación de los integrantes de las instituciones de seguridad pública. La operación y desarrollo de estas acciones será competencia de la Federación, las entidades federativas y los Municipios en el ámbito de sus respectivas atribuciones.</w:t>
      </w:r>
    </w:p>
    <w:p w14:paraId="15EAF3DF" w14:textId="77777777" w:rsidR="00E321AC" w:rsidRPr="00E321AC" w:rsidRDefault="00E321AC" w:rsidP="00E321AC">
      <w:pPr>
        <w:ind w:left="708"/>
        <w:jc w:val="both"/>
        <w:rPr>
          <w:rFonts w:ascii="Arial" w:hAnsi="Arial" w:cs="Arial"/>
          <w:i/>
        </w:rPr>
      </w:pPr>
      <w:r w:rsidRPr="00E321AC">
        <w:rPr>
          <w:rFonts w:ascii="Arial" w:hAnsi="Arial" w:cs="Arial"/>
          <w:i/>
        </w:rPr>
        <w:t xml:space="preserve">b) El establecimiento de un sistema nacional de información en seguridad pública a cargo de la Federación al que ésta, las entidades federativas y los Municipios, a través de las dependencias responsables de la seguridad pública, proporcionarán la información de que dispongan en la materia, conforme a la ley. El sistema contendrá también las bases de datos </w:t>
      </w:r>
      <w:proofErr w:type="spellStart"/>
      <w:r w:rsidRPr="00E321AC">
        <w:rPr>
          <w:rFonts w:ascii="Arial" w:hAnsi="Arial" w:cs="Arial"/>
          <w:i/>
        </w:rPr>
        <w:t>criminalísticos</w:t>
      </w:r>
      <w:proofErr w:type="spellEnd"/>
      <w:r w:rsidRPr="00E321AC">
        <w:rPr>
          <w:rFonts w:ascii="Arial" w:hAnsi="Arial" w:cs="Arial"/>
          <w:i/>
        </w:rPr>
        <w:t xml:space="preserve"> y de personal para las instituciones de seguridad pública. Ninguna persona podrá ingresar a las instituciones de seguridad pública si no ha sido debidamente certificada y registrada en el sistema.</w:t>
      </w:r>
    </w:p>
    <w:p w14:paraId="719A76DE" w14:textId="77777777" w:rsidR="00E321AC" w:rsidRPr="00E321AC" w:rsidRDefault="00E321AC" w:rsidP="00E321AC">
      <w:pPr>
        <w:ind w:left="708"/>
        <w:jc w:val="both"/>
        <w:rPr>
          <w:rFonts w:ascii="Arial" w:hAnsi="Arial" w:cs="Arial"/>
          <w:i/>
        </w:rPr>
      </w:pPr>
      <w:r w:rsidRPr="00E321AC">
        <w:rPr>
          <w:rFonts w:ascii="Arial" w:hAnsi="Arial" w:cs="Arial"/>
          <w:i/>
        </w:rPr>
        <w:t>c) La formulación de políticas públicas tendientes a prevenir la comisión de delitos.</w:t>
      </w:r>
    </w:p>
    <w:p w14:paraId="4DCF2014" w14:textId="77777777" w:rsidR="00E321AC" w:rsidRPr="00104388" w:rsidRDefault="00E321AC" w:rsidP="00E321AC">
      <w:pPr>
        <w:ind w:left="708"/>
        <w:jc w:val="both"/>
        <w:rPr>
          <w:rFonts w:ascii="Arial" w:hAnsi="Arial" w:cs="Arial"/>
          <w:i/>
        </w:rPr>
      </w:pPr>
      <w:r w:rsidRPr="00104388">
        <w:rPr>
          <w:rFonts w:ascii="Arial" w:hAnsi="Arial" w:cs="Arial"/>
          <w:i/>
        </w:rPr>
        <w:t>d) Se determinará la participación de la comunidad que coadyuvará, entre otros, en los procesos de evaluación de las políticas de prevención del delito así como de las instituciones de seguridad pública.</w:t>
      </w:r>
    </w:p>
    <w:p w14:paraId="1E0E7BCE" w14:textId="77777777" w:rsidR="00E321AC" w:rsidRPr="00104388" w:rsidRDefault="00E321AC" w:rsidP="00E321AC">
      <w:pPr>
        <w:ind w:left="708"/>
        <w:jc w:val="both"/>
        <w:rPr>
          <w:rFonts w:ascii="Arial" w:hAnsi="Arial" w:cs="Arial"/>
          <w:i/>
        </w:rPr>
      </w:pPr>
      <w:r w:rsidRPr="00104388">
        <w:rPr>
          <w:rFonts w:ascii="Arial" w:hAnsi="Arial" w:cs="Arial"/>
          <w:i/>
        </w:rPr>
        <w:t>e) Los fondos de ayuda federal para la seguridad pública, a nivel nacional serán aportados a las entidades federativas y municipios para ser destinados exclusivamente a estos fines.</w:t>
      </w:r>
    </w:p>
    <w:p w14:paraId="2CB04DD4" w14:textId="77777777" w:rsidR="00E321AC" w:rsidRPr="00E321AC" w:rsidRDefault="00E321AC" w:rsidP="00E321AC">
      <w:pPr>
        <w:ind w:left="708"/>
        <w:jc w:val="both"/>
        <w:rPr>
          <w:rFonts w:ascii="Arial" w:hAnsi="Arial" w:cs="Arial"/>
          <w:i/>
        </w:rPr>
      </w:pPr>
      <w:r w:rsidRPr="00E321AC">
        <w:rPr>
          <w:rFonts w:ascii="Arial" w:hAnsi="Arial" w:cs="Arial"/>
          <w:b/>
          <w:i/>
        </w:rPr>
        <w:t xml:space="preserve">La Federación contará con una institución policial de </w:t>
      </w:r>
      <w:r w:rsidRPr="00E321AC">
        <w:rPr>
          <w:rFonts w:ascii="Arial" w:hAnsi="Arial" w:cs="Arial"/>
          <w:b/>
          <w:i/>
          <w:u w:val="single"/>
        </w:rPr>
        <w:t>carácter civil</w:t>
      </w:r>
      <w:r w:rsidRPr="00E321AC">
        <w:rPr>
          <w:rFonts w:ascii="Arial" w:hAnsi="Arial" w:cs="Arial"/>
          <w:b/>
          <w:i/>
        </w:rPr>
        <w:t xml:space="preserve"> denominada Guardia Nacional, cuyos fines son los señalados en el párrafo noveno de este artículo, la coordinación y colaboración con las entidades federativas y Municipios, así como la salvaguarda de los bienes y recursos de la Nación</w:t>
      </w:r>
      <w:r w:rsidRPr="00E321AC">
        <w:rPr>
          <w:rFonts w:ascii="Arial" w:hAnsi="Arial" w:cs="Arial"/>
          <w:i/>
        </w:rPr>
        <w:t>.</w:t>
      </w:r>
    </w:p>
    <w:p w14:paraId="02A67624" w14:textId="77777777" w:rsidR="00E321AC" w:rsidRPr="00E321AC" w:rsidRDefault="00E321AC" w:rsidP="00E321AC">
      <w:pPr>
        <w:ind w:left="708"/>
        <w:jc w:val="both"/>
        <w:rPr>
          <w:rFonts w:ascii="Arial" w:hAnsi="Arial" w:cs="Arial"/>
          <w:i/>
        </w:rPr>
      </w:pPr>
      <w:r w:rsidRPr="00E321AC">
        <w:rPr>
          <w:rFonts w:ascii="Arial" w:hAnsi="Arial" w:cs="Arial"/>
          <w:b/>
          <w:i/>
          <w:u w:val="single"/>
        </w:rPr>
        <w:t>La ley determinará la estructura orgánica y de dirección de la Guardia Nacional, que estará adscrita a la secretaría del ramo de seguridad pública</w:t>
      </w:r>
      <w:r w:rsidRPr="00E321AC">
        <w:rPr>
          <w:rFonts w:ascii="Arial" w:hAnsi="Arial" w:cs="Arial"/>
          <w:i/>
        </w:rPr>
        <w:t>, que formulará la Estrategia Nacional de Seguridad Pública, los respectivos programas, políticas y acciones.</w:t>
      </w:r>
    </w:p>
    <w:p w14:paraId="470EF86D" w14:textId="53DFD807" w:rsidR="00E321AC" w:rsidRPr="00E321AC" w:rsidRDefault="00E321AC" w:rsidP="00E321AC">
      <w:pPr>
        <w:ind w:left="708"/>
        <w:jc w:val="both"/>
        <w:rPr>
          <w:rFonts w:ascii="Arial" w:hAnsi="Arial" w:cs="Arial"/>
          <w:i/>
        </w:rPr>
      </w:pPr>
      <w:r w:rsidRPr="00E321AC">
        <w:rPr>
          <w:rFonts w:ascii="Arial" w:hAnsi="Arial" w:cs="Arial"/>
          <w:i/>
        </w:rPr>
        <w:t xml:space="preserve">La formación y el desempeño de los integrantes de la Guardia Nacional y de las demás instituciones policiales se regirán por una doctrina policial fundada en el servicio a la sociedad, la disciplina, </w:t>
      </w:r>
      <w:r w:rsidRPr="00104388">
        <w:rPr>
          <w:rFonts w:ascii="Arial" w:hAnsi="Arial" w:cs="Arial"/>
          <w:i/>
        </w:rPr>
        <w:t>el respeto a los derechos humanos, al imperio de la ley</w:t>
      </w:r>
      <w:r w:rsidRPr="00E321AC">
        <w:rPr>
          <w:rFonts w:ascii="Arial" w:hAnsi="Arial" w:cs="Arial"/>
          <w:i/>
        </w:rPr>
        <w:t>, al mando superior, y en lo conducente a la perspectiva de género.”</w:t>
      </w:r>
    </w:p>
    <w:p w14:paraId="68CF3B89" w14:textId="54E02839" w:rsidR="00E321AC" w:rsidRPr="00533D3F" w:rsidRDefault="00E321AC" w:rsidP="00C7698C">
      <w:pPr>
        <w:spacing w:before="240"/>
        <w:ind w:right="49"/>
        <w:jc w:val="both"/>
        <w:rPr>
          <w:rFonts w:ascii="Arial" w:hAnsi="Arial" w:cs="Arial"/>
          <w:sz w:val="24"/>
          <w:szCs w:val="24"/>
          <w:shd w:val="clear" w:color="auto" w:fill="FFFFFF"/>
        </w:rPr>
      </w:pPr>
      <w:r w:rsidRPr="00533D3F">
        <w:rPr>
          <w:rFonts w:ascii="Arial" w:hAnsi="Arial" w:cs="Arial"/>
          <w:sz w:val="24"/>
          <w:szCs w:val="24"/>
          <w:shd w:val="clear" w:color="auto" w:fill="FFFFFF"/>
        </w:rPr>
        <w:t>Así, del numeral transcrito se desprende que las policías actuaran bajo la conducción y mando del Ministerio Público</w:t>
      </w:r>
      <w:r w:rsidR="0039625E" w:rsidRPr="00533D3F">
        <w:rPr>
          <w:rFonts w:ascii="Arial" w:hAnsi="Arial" w:cs="Arial"/>
          <w:sz w:val="24"/>
          <w:szCs w:val="24"/>
          <w:shd w:val="clear" w:color="auto" w:fill="FFFFFF"/>
        </w:rPr>
        <w:t xml:space="preserve">, que la seguridad pública es una tarea a cargo de los tres órdenes de gobierno, cuyos fines son salvaguardar la vida, las libertades, la integridad y el patrimonio de las personas, así como la preservación del orden público y la paz, de </w:t>
      </w:r>
      <w:r w:rsidR="00430690" w:rsidRPr="00533D3F">
        <w:rPr>
          <w:rFonts w:ascii="Arial" w:hAnsi="Arial" w:cs="Arial"/>
          <w:sz w:val="24"/>
          <w:szCs w:val="24"/>
          <w:shd w:val="clear" w:color="auto" w:fill="FFFFFF"/>
        </w:rPr>
        <w:t>conformidad con la Constitución, además que de que las instituciones de seguridad pública incluyendo a la Guardia Nacional se regirán</w:t>
      </w:r>
      <w:r w:rsidR="0019403E" w:rsidRPr="00533D3F">
        <w:rPr>
          <w:rFonts w:ascii="Arial" w:hAnsi="Arial" w:cs="Arial"/>
          <w:sz w:val="24"/>
          <w:szCs w:val="24"/>
          <w:shd w:val="clear" w:color="auto" w:fill="FFFFFF"/>
        </w:rPr>
        <w:t xml:space="preserve"> por ciertos principios,</w:t>
      </w:r>
      <w:r w:rsidR="00430690" w:rsidRPr="00533D3F">
        <w:rPr>
          <w:rFonts w:ascii="Arial" w:hAnsi="Arial" w:cs="Arial"/>
          <w:sz w:val="24"/>
          <w:szCs w:val="24"/>
          <w:shd w:val="clear" w:color="auto" w:fill="FFFFFF"/>
        </w:rPr>
        <w:t xml:space="preserve"> respeto a los derechos humanos</w:t>
      </w:r>
      <w:r w:rsidR="0019403E" w:rsidRPr="00533D3F">
        <w:rPr>
          <w:rFonts w:ascii="Arial" w:hAnsi="Arial" w:cs="Arial"/>
          <w:sz w:val="24"/>
          <w:szCs w:val="24"/>
          <w:shd w:val="clear" w:color="auto" w:fill="FFFFFF"/>
        </w:rPr>
        <w:t xml:space="preserve"> y al imperio de la ley</w:t>
      </w:r>
      <w:r w:rsidR="00430690" w:rsidRPr="00533D3F">
        <w:rPr>
          <w:rFonts w:ascii="Arial" w:hAnsi="Arial" w:cs="Arial"/>
          <w:sz w:val="24"/>
          <w:szCs w:val="24"/>
          <w:shd w:val="clear" w:color="auto" w:fill="FFFFFF"/>
        </w:rPr>
        <w:t xml:space="preserve">, asimismo, que estas serán de carácter civil, </w:t>
      </w:r>
      <w:r w:rsidR="005B2C71" w:rsidRPr="00533D3F">
        <w:rPr>
          <w:rFonts w:ascii="Arial" w:hAnsi="Arial" w:cs="Arial"/>
          <w:sz w:val="24"/>
          <w:szCs w:val="24"/>
          <w:shd w:val="clear" w:color="auto" w:fill="FFFFFF"/>
        </w:rPr>
        <w:t xml:space="preserve">y reitera que la Guardia Nacional será una institución policiaca de carácter civil, que estará adscrita a la secretaría del ramo de seguridad pública y su objetivo será la seguridad pública. </w:t>
      </w:r>
      <w:r w:rsidR="00430690" w:rsidRPr="00533D3F">
        <w:rPr>
          <w:rFonts w:ascii="Arial" w:hAnsi="Arial" w:cs="Arial"/>
          <w:sz w:val="24"/>
          <w:szCs w:val="24"/>
          <w:shd w:val="clear" w:color="auto" w:fill="FFFFFF"/>
        </w:rPr>
        <w:t xml:space="preserve"> </w:t>
      </w:r>
    </w:p>
    <w:p w14:paraId="33747FFE" w14:textId="346D045F" w:rsidR="00CE468F" w:rsidRPr="00533D3F" w:rsidRDefault="00A161EF" w:rsidP="00CE468F">
      <w:pPr>
        <w:jc w:val="both"/>
        <w:rPr>
          <w:rFonts w:ascii="Arial" w:hAnsi="Arial" w:cs="Arial"/>
          <w:sz w:val="24"/>
          <w:szCs w:val="24"/>
        </w:rPr>
      </w:pPr>
      <w:r w:rsidRPr="00533D3F">
        <w:rPr>
          <w:rFonts w:ascii="Arial" w:hAnsi="Arial" w:cs="Arial"/>
          <w:sz w:val="24"/>
          <w:szCs w:val="24"/>
        </w:rPr>
        <w:t xml:space="preserve">Es útil conocer el origen de las cosas para detectar la finalidad para la cual fueron creadas. </w:t>
      </w:r>
      <w:r w:rsidR="00CE468F" w:rsidRPr="00533D3F">
        <w:rPr>
          <w:rFonts w:ascii="Arial" w:hAnsi="Arial" w:cs="Arial"/>
          <w:sz w:val="24"/>
          <w:szCs w:val="24"/>
        </w:rPr>
        <w:t xml:space="preserve">Respecto del origen histórico de la guardia nacional, el Diccionario Jurídico Mexicano del Instituto de Investigaciones Jurídicas de la Universidad Autónoma de México (1984), explica que la guardia nacional es una institución formada por el pueblo en armas, todos los ciudadanos en determinada edad o en aptitud física suficiente, si las circunstancias lo exigen, deben acudir a integrar esta fuerza patria. Su antecedente formal lo encontramos en Francia, cuando el general María José </w:t>
      </w:r>
      <w:proofErr w:type="spellStart"/>
      <w:r w:rsidR="00CE468F" w:rsidRPr="00533D3F">
        <w:rPr>
          <w:rFonts w:ascii="Arial" w:hAnsi="Arial" w:cs="Arial"/>
          <w:sz w:val="24"/>
          <w:szCs w:val="24"/>
        </w:rPr>
        <w:t>Motier</w:t>
      </w:r>
      <w:proofErr w:type="spellEnd"/>
      <w:r w:rsidR="00CE468F" w:rsidRPr="00533D3F">
        <w:rPr>
          <w:rFonts w:ascii="Arial" w:hAnsi="Arial" w:cs="Arial"/>
          <w:sz w:val="24"/>
          <w:szCs w:val="24"/>
        </w:rPr>
        <w:t xml:space="preserve">, marqués de La </w:t>
      </w:r>
      <w:proofErr w:type="spellStart"/>
      <w:r w:rsidR="00CE468F" w:rsidRPr="00533D3F">
        <w:rPr>
          <w:rFonts w:ascii="Arial" w:hAnsi="Arial" w:cs="Arial"/>
          <w:sz w:val="24"/>
          <w:szCs w:val="24"/>
        </w:rPr>
        <w:t>Fayette</w:t>
      </w:r>
      <w:proofErr w:type="spellEnd"/>
      <w:r w:rsidR="00CE468F" w:rsidRPr="00533D3F">
        <w:rPr>
          <w:rFonts w:ascii="Arial" w:hAnsi="Arial" w:cs="Arial"/>
          <w:sz w:val="24"/>
          <w:szCs w:val="24"/>
        </w:rPr>
        <w:t xml:space="preserve">, después de la toma de La Bastilla (14 de julio de 1789), asumió el cargo de </w:t>
      </w:r>
      <w:r w:rsidR="00CE468F" w:rsidRPr="00533D3F">
        <w:rPr>
          <w:rFonts w:ascii="Arial" w:hAnsi="Arial" w:cs="Arial"/>
          <w:sz w:val="24"/>
          <w:szCs w:val="24"/>
        </w:rPr>
        <w:lastRenderedPageBreak/>
        <w:t xml:space="preserve">jefe de la guardia nacional, y prendió en el sombrero de Luis XVI, la enseña tricolor diciéndole: “esta escarapela dará la vuelta al mundo” (Tomo IV, E-H, pp.312). </w:t>
      </w:r>
    </w:p>
    <w:p w14:paraId="1A7F5358" w14:textId="63ED58E4" w:rsidR="00CE468F" w:rsidRPr="00533D3F" w:rsidRDefault="00CE468F" w:rsidP="00CE468F">
      <w:pPr>
        <w:spacing w:before="240"/>
        <w:ind w:right="49"/>
        <w:jc w:val="both"/>
        <w:rPr>
          <w:rFonts w:ascii="Arial" w:hAnsi="Arial" w:cs="Arial"/>
          <w:sz w:val="24"/>
          <w:szCs w:val="24"/>
          <w:shd w:val="clear" w:color="auto" w:fill="FFFFFF"/>
        </w:rPr>
      </w:pPr>
      <w:r w:rsidRPr="00533D3F">
        <w:rPr>
          <w:rFonts w:ascii="Arial" w:hAnsi="Arial" w:cs="Arial"/>
          <w:sz w:val="24"/>
          <w:szCs w:val="24"/>
          <w:shd w:val="clear" w:color="auto" w:fill="FFFFFF"/>
        </w:rPr>
        <w:t>En ese sentido,</w:t>
      </w:r>
      <w:r w:rsidR="00FF3EF9" w:rsidRPr="00533D3F">
        <w:rPr>
          <w:rFonts w:ascii="Arial" w:hAnsi="Arial" w:cs="Arial"/>
          <w:sz w:val="24"/>
          <w:szCs w:val="24"/>
          <w:shd w:val="clear" w:color="auto" w:fill="FFFFFF"/>
        </w:rPr>
        <w:t xml:space="preserve"> la Guardia Nacional al ser una institución, al igual que cualquier otra institución</w:t>
      </w:r>
      <w:r w:rsidRPr="00533D3F">
        <w:rPr>
          <w:rFonts w:ascii="Arial" w:hAnsi="Arial" w:cs="Arial"/>
          <w:sz w:val="24"/>
          <w:szCs w:val="24"/>
          <w:shd w:val="clear" w:color="auto" w:fill="FFFFFF"/>
        </w:rPr>
        <w:t xml:space="preserve"> </w:t>
      </w:r>
      <w:r w:rsidR="00FF3EF9" w:rsidRPr="00533D3F">
        <w:rPr>
          <w:rFonts w:ascii="Arial" w:hAnsi="Arial" w:cs="Arial"/>
          <w:sz w:val="24"/>
          <w:szCs w:val="24"/>
          <w:shd w:val="clear" w:color="auto" w:fill="FFFFFF"/>
        </w:rPr>
        <w:t xml:space="preserve">deben revestir orden. Las sociedades humanas, nos dice el maestro </w:t>
      </w:r>
      <w:proofErr w:type="spellStart"/>
      <w:r w:rsidR="00FF3EF9" w:rsidRPr="00533D3F">
        <w:rPr>
          <w:rFonts w:ascii="Arial" w:hAnsi="Arial" w:cs="Arial"/>
          <w:sz w:val="24"/>
          <w:szCs w:val="24"/>
          <w:shd w:val="clear" w:color="auto" w:fill="FFFFFF"/>
        </w:rPr>
        <w:t>Duverger</w:t>
      </w:r>
      <w:proofErr w:type="spellEnd"/>
      <w:r w:rsidR="00FF3EF9" w:rsidRPr="00533D3F">
        <w:rPr>
          <w:rFonts w:ascii="Arial" w:hAnsi="Arial" w:cs="Arial"/>
          <w:sz w:val="24"/>
          <w:szCs w:val="24"/>
          <w:shd w:val="clear" w:color="auto" w:fill="FFFFFF"/>
        </w:rPr>
        <w:t xml:space="preserve">, se ofrecen estructuradas, pareciéndose a un edificio más bien que a un montón de piedras. Las instituciones determinan la arquitectura de este edificio… (Introducción a la política, p.96), consideradas así las instituciones serán en términos amplios cada una de las organizaciones fundamentales de un Estado, nación o sociedad: los órganos constitucionales del poder soberano en la Nación; las leyes fundamentales de un país que resultan de la Constitución, del derecho positivo o de la costumbre, son pautas de comportamiento, instrumentos que gobiernan la ejecución de algo. Las instituciones dan la idea de un universo ordenado y coherente que configura no sólo al Estado como institución política primera, sino a la sociedad como continente de múltiples instituciones que detienen su desenfrenada sinergia para establecer un movimiento ordenado. </w:t>
      </w:r>
    </w:p>
    <w:p w14:paraId="31B26FC9" w14:textId="77CE0068" w:rsidR="009803DF" w:rsidRDefault="00A161EF" w:rsidP="009803DF">
      <w:pPr>
        <w:spacing w:before="240"/>
        <w:ind w:right="49"/>
        <w:jc w:val="both"/>
        <w:rPr>
          <w:rFonts w:ascii="Arial" w:hAnsi="Arial" w:cs="Arial"/>
          <w:sz w:val="24"/>
          <w:szCs w:val="24"/>
          <w:shd w:val="clear" w:color="auto" w:fill="FFFFFF"/>
        </w:rPr>
      </w:pPr>
      <w:r w:rsidRPr="00533D3F">
        <w:rPr>
          <w:rFonts w:ascii="Arial" w:hAnsi="Arial" w:cs="Arial"/>
          <w:sz w:val="24"/>
          <w:szCs w:val="24"/>
        </w:rPr>
        <w:t xml:space="preserve">Y es que </w:t>
      </w:r>
      <w:r w:rsidRPr="00533D3F">
        <w:rPr>
          <w:rFonts w:ascii="Arial" w:hAnsi="Arial" w:cs="Arial"/>
          <w:i/>
          <w:sz w:val="24"/>
          <w:szCs w:val="24"/>
        </w:rPr>
        <w:t>una cosa se dice que está perfectamente ordenada, cuando lo está respecto a su fin</w:t>
      </w:r>
      <w:r w:rsidRPr="00533D3F">
        <w:rPr>
          <w:rStyle w:val="Refdenotaalpie"/>
          <w:rFonts w:ascii="Arial" w:hAnsi="Arial" w:cs="Arial"/>
          <w:i/>
          <w:sz w:val="24"/>
          <w:szCs w:val="24"/>
        </w:rPr>
        <w:footnoteReference w:id="33"/>
      </w:r>
      <w:r w:rsidR="009803DF" w:rsidRPr="00533D3F">
        <w:rPr>
          <w:rFonts w:ascii="Arial" w:hAnsi="Arial" w:cs="Arial"/>
          <w:sz w:val="24"/>
          <w:szCs w:val="24"/>
          <w:shd w:val="clear" w:color="auto" w:fill="FFFFFF"/>
        </w:rPr>
        <w:t xml:space="preserve"> así tomando en consideración el fin Constitucional</w:t>
      </w:r>
      <w:r w:rsidR="003D2D34" w:rsidRPr="00533D3F">
        <w:rPr>
          <w:rFonts w:ascii="Arial" w:hAnsi="Arial" w:cs="Arial"/>
          <w:sz w:val="24"/>
          <w:szCs w:val="24"/>
          <w:shd w:val="clear" w:color="auto" w:fill="FFFFFF"/>
        </w:rPr>
        <w:t xml:space="preserve"> de la Guardia Nacional</w:t>
      </w:r>
      <w:r w:rsidR="009803DF" w:rsidRPr="00533D3F">
        <w:rPr>
          <w:rFonts w:ascii="Arial" w:hAnsi="Arial" w:cs="Arial"/>
          <w:sz w:val="24"/>
          <w:szCs w:val="24"/>
          <w:shd w:val="clear" w:color="auto" w:fill="FFFFFF"/>
        </w:rPr>
        <w:t>, de c</w:t>
      </w:r>
      <w:r w:rsidR="003D2D34" w:rsidRPr="00533D3F">
        <w:rPr>
          <w:rFonts w:ascii="Arial" w:hAnsi="Arial" w:cs="Arial"/>
          <w:sz w:val="24"/>
          <w:szCs w:val="24"/>
          <w:shd w:val="clear" w:color="auto" w:fill="FFFFFF"/>
        </w:rPr>
        <w:t>onformidad con el principio de Supremacía C</w:t>
      </w:r>
      <w:r w:rsidR="009803DF" w:rsidRPr="00533D3F">
        <w:rPr>
          <w:rFonts w:ascii="Arial" w:hAnsi="Arial" w:cs="Arial"/>
          <w:sz w:val="24"/>
          <w:szCs w:val="24"/>
          <w:shd w:val="clear" w:color="auto" w:fill="FFFFFF"/>
        </w:rPr>
        <w:t>onstitucional</w:t>
      </w:r>
      <w:r w:rsidR="003D2D34" w:rsidRPr="00533D3F">
        <w:rPr>
          <w:rFonts w:ascii="Arial" w:hAnsi="Arial" w:cs="Arial"/>
          <w:sz w:val="24"/>
          <w:szCs w:val="24"/>
          <w:shd w:val="clear" w:color="auto" w:fill="FFFFFF"/>
        </w:rPr>
        <w:t xml:space="preserve"> contemplado en el artículo 133 de la Ley Fundamental</w:t>
      </w:r>
      <w:r w:rsidR="009803DF" w:rsidRPr="00533D3F">
        <w:rPr>
          <w:rFonts w:ascii="Arial" w:hAnsi="Arial" w:cs="Arial"/>
          <w:sz w:val="24"/>
          <w:szCs w:val="24"/>
          <w:shd w:val="clear" w:color="auto" w:fill="FFFFFF"/>
        </w:rPr>
        <w:t>, el fin de la institución Guardia Nacional es la seguridad públi</w:t>
      </w:r>
      <w:r w:rsidR="003D2D34" w:rsidRPr="00533D3F">
        <w:rPr>
          <w:rFonts w:ascii="Arial" w:hAnsi="Arial" w:cs="Arial"/>
          <w:sz w:val="24"/>
          <w:szCs w:val="24"/>
          <w:shd w:val="clear" w:color="auto" w:fill="FFFFFF"/>
        </w:rPr>
        <w:t>ca, establecido en el artículo 21 Constitucional. Mientras que</w:t>
      </w:r>
      <w:r w:rsidR="009803DF" w:rsidRPr="00533D3F">
        <w:rPr>
          <w:rFonts w:ascii="Arial" w:hAnsi="Arial" w:cs="Arial"/>
          <w:sz w:val="24"/>
          <w:szCs w:val="24"/>
          <w:shd w:val="clear" w:color="auto" w:fill="FFFFFF"/>
        </w:rPr>
        <w:t xml:space="preserve"> </w:t>
      </w:r>
      <w:r w:rsidR="003D2D34" w:rsidRPr="00533D3F">
        <w:rPr>
          <w:rFonts w:ascii="Arial" w:hAnsi="Arial" w:cs="Arial"/>
          <w:sz w:val="24"/>
          <w:szCs w:val="24"/>
          <w:shd w:val="clear" w:color="auto" w:fill="FFFFFF"/>
        </w:rPr>
        <w:t>el fin Constitucional del Ejército o institución militar es la defensa nacional,</w:t>
      </w:r>
      <w:r w:rsidR="00C8561E" w:rsidRPr="00533D3F">
        <w:rPr>
          <w:rFonts w:ascii="Arial" w:hAnsi="Arial" w:cs="Arial"/>
          <w:sz w:val="24"/>
          <w:szCs w:val="24"/>
          <w:shd w:val="clear" w:color="auto" w:fill="FFFFFF"/>
        </w:rPr>
        <w:t xml:space="preserve"> defender la integridad, la independencia y la soberanía de la nación según</w:t>
      </w:r>
      <w:r w:rsidR="003D2D34" w:rsidRPr="00533D3F">
        <w:rPr>
          <w:rFonts w:ascii="Arial" w:hAnsi="Arial" w:cs="Arial"/>
          <w:sz w:val="24"/>
          <w:szCs w:val="24"/>
          <w:shd w:val="clear" w:color="auto" w:fill="FFFFFF"/>
        </w:rPr>
        <w:t xml:space="preserve"> lo prescribe el artículo 1 de la Ley Orgánica del Ejército y Fuerza Aérea </w:t>
      </w:r>
      <w:r w:rsidR="00C8561E" w:rsidRPr="00533D3F">
        <w:rPr>
          <w:rFonts w:ascii="Arial" w:hAnsi="Arial" w:cs="Arial"/>
          <w:sz w:val="24"/>
          <w:szCs w:val="24"/>
          <w:shd w:val="clear" w:color="auto" w:fill="FFFFFF"/>
        </w:rPr>
        <w:t>Mexicanos</w:t>
      </w:r>
      <w:r w:rsidR="003D2D34" w:rsidRPr="00533D3F">
        <w:rPr>
          <w:rFonts w:ascii="Arial" w:hAnsi="Arial" w:cs="Arial"/>
          <w:sz w:val="24"/>
          <w:szCs w:val="24"/>
          <w:shd w:val="clear" w:color="auto" w:fill="FFFFFF"/>
        </w:rPr>
        <w:t>.</w:t>
      </w:r>
    </w:p>
    <w:p w14:paraId="0E22BC68" w14:textId="33704F74" w:rsidR="00B21DB9" w:rsidRPr="00B72B75" w:rsidRDefault="00B21DB9" w:rsidP="00B21DB9">
      <w:pPr>
        <w:jc w:val="both"/>
        <w:rPr>
          <w:rFonts w:ascii="Arial" w:hAnsi="Arial" w:cs="Arial"/>
          <w:sz w:val="24"/>
          <w:szCs w:val="24"/>
          <w:lang w:val="es-ES_tradnl"/>
        </w:rPr>
      </w:pPr>
      <w:r w:rsidRPr="00B72B75">
        <w:rPr>
          <w:rFonts w:ascii="Arial" w:hAnsi="Arial" w:cs="Arial"/>
          <w:sz w:val="24"/>
          <w:szCs w:val="24"/>
          <w:lang w:val="es-ES_tradnl"/>
        </w:rPr>
        <w:t xml:space="preserve">Originalmente </w:t>
      </w:r>
      <w:r w:rsidRPr="00B72B75">
        <w:rPr>
          <w:rFonts w:ascii="Arial" w:hAnsi="Arial" w:cs="Arial"/>
          <w:i/>
          <w:sz w:val="24"/>
          <w:szCs w:val="24"/>
          <w:lang w:val="es-ES_tradnl"/>
        </w:rPr>
        <w:t>“</w:t>
      </w:r>
      <w:r w:rsidRPr="00B72B75">
        <w:rPr>
          <w:rFonts w:ascii="Arial" w:hAnsi="Arial" w:cs="Arial"/>
          <w:i/>
          <w:sz w:val="24"/>
          <w:szCs w:val="24"/>
          <w:lang w:eastAsia="en-US"/>
        </w:rPr>
        <w:t xml:space="preserve">la misión constitucional de las Fuerzas Armadas es la </w:t>
      </w:r>
      <w:proofErr w:type="gramStart"/>
      <w:r w:rsidRPr="00B72B75">
        <w:rPr>
          <w:rFonts w:ascii="Arial" w:hAnsi="Arial" w:cs="Arial"/>
          <w:i/>
          <w:sz w:val="24"/>
          <w:szCs w:val="24"/>
          <w:lang w:eastAsia="en-US"/>
        </w:rPr>
        <w:t>seguridad  nacional</w:t>
      </w:r>
      <w:proofErr w:type="gramEnd"/>
      <w:r w:rsidRPr="00B72B75">
        <w:rPr>
          <w:rFonts w:ascii="Arial" w:hAnsi="Arial" w:cs="Arial"/>
          <w:i/>
          <w:sz w:val="24"/>
          <w:szCs w:val="24"/>
          <w:lang w:eastAsia="en-US"/>
        </w:rPr>
        <w:t xml:space="preserve">, ya sea en su vertiente interna o externa </w:t>
      </w:r>
      <w:r w:rsidRPr="00B72B75">
        <w:rPr>
          <w:rFonts w:ascii="Arial" w:hAnsi="Arial" w:cs="Arial"/>
          <w:b/>
          <w:i/>
          <w:sz w:val="24"/>
          <w:szCs w:val="24"/>
          <w:lang w:eastAsia="en-US"/>
        </w:rPr>
        <w:t>frente a amenazas provenientes más allá de nuestras fronteras</w:t>
      </w:r>
      <w:r w:rsidRPr="00B72B75">
        <w:rPr>
          <w:rStyle w:val="Refdenotaalpie"/>
          <w:rFonts w:ascii="Arial" w:hAnsi="Arial" w:cs="Arial"/>
          <w:b/>
          <w:i/>
          <w:sz w:val="24"/>
          <w:szCs w:val="24"/>
          <w:lang w:eastAsia="en-US"/>
        </w:rPr>
        <w:footnoteReference w:id="34"/>
      </w:r>
      <w:r w:rsidRPr="00B72B75">
        <w:rPr>
          <w:rFonts w:ascii="Arial" w:hAnsi="Arial" w:cs="Arial"/>
          <w:b/>
          <w:i/>
          <w:sz w:val="24"/>
          <w:szCs w:val="24"/>
          <w:lang w:eastAsia="en-US"/>
        </w:rPr>
        <w:t>”</w:t>
      </w:r>
      <w:r w:rsidRPr="00B72B75">
        <w:rPr>
          <w:rFonts w:ascii="Arial" w:hAnsi="Arial" w:cs="Arial"/>
          <w:sz w:val="24"/>
          <w:szCs w:val="24"/>
          <w:lang w:val="es-ES_tradnl"/>
        </w:rPr>
        <w:t>. Nuestra historia constitucional nos ha enseñado que son necesarias las Fuerzas Armadas, no como una línea ofensiva, sino como un medio de defensa para hacer frente a los peligros que pudieran amenazar la soberanía nacional y la permanencia del Estado Mexicano ante cualquier enemigo exterior.</w:t>
      </w:r>
    </w:p>
    <w:p w14:paraId="65A2955E" w14:textId="427E0A06" w:rsidR="00B21DB9" w:rsidRPr="00B72B75" w:rsidRDefault="00B21DB9" w:rsidP="00B21DB9">
      <w:pPr>
        <w:jc w:val="both"/>
        <w:rPr>
          <w:rFonts w:ascii="Arial" w:hAnsi="Arial" w:cs="Arial"/>
          <w:sz w:val="24"/>
          <w:szCs w:val="24"/>
          <w:lang w:val="es-ES_tradnl"/>
        </w:rPr>
      </w:pPr>
      <w:r w:rsidRPr="00B72B75">
        <w:rPr>
          <w:rFonts w:ascii="Arial" w:hAnsi="Arial" w:cs="Arial"/>
          <w:sz w:val="24"/>
          <w:szCs w:val="24"/>
          <w:lang w:val="es-ES_tradnl"/>
        </w:rPr>
        <w:t>Esta es la loable y original labor para la cual fueron creadas las fuerzas armadas, razón por la cual el régimen castrense se caracteriza por adiestrar a sus miembros para lograr la derrota de un objetivo legítimo y no para actuar en contextos donde se requiere llevar a cabo el control y protección de la población civil</w:t>
      </w:r>
      <w:r w:rsidRPr="00B72B75">
        <w:rPr>
          <w:rStyle w:val="Refdenotaalpie"/>
          <w:rFonts w:ascii="Arial" w:hAnsi="Arial" w:cs="Arial"/>
          <w:iCs/>
          <w:sz w:val="24"/>
          <w:szCs w:val="24"/>
        </w:rPr>
        <w:footnoteReference w:id="35"/>
      </w:r>
      <w:r w:rsidRPr="00B72B75">
        <w:rPr>
          <w:rFonts w:ascii="Arial" w:hAnsi="Arial" w:cs="Arial"/>
          <w:sz w:val="24"/>
          <w:szCs w:val="24"/>
          <w:lang w:val="es-ES_tradnl"/>
        </w:rPr>
        <w:t xml:space="preserve">. </w:t>
      </w:r>
    </w:p>
    <w:p w14:paraId="29492675" w14:textId="037534FA" w:rsidR="00B21DB9" w:rsidRPr="00B72B75" w:rsidRDefault="00B21DB9" w:rsidP="00B21DB9">
      <w:pPr>
        <w:jc w:val="both"/>
        <w:rPr>
          <w:rFonts w:ascii="Arial" w:hAnsi="Arial" w:cs="Arial"/>
          <w:sz w:val="24"/>
          <w:szCs w:val="24"/>
          <w:lang w:val="es-ES_tradnl"/>
        </w:rPr>
      </w:pPr>
      <w:r w:rsidRPr="00B72B75">
        <w:rPr>
          <w:rFonts w:ascii="Arial" w:hAnsi="Arial" w:cs="Arial"/>
          <w:sz w:val="24"/>
          <w:szCs w:val="24"/>
          <w:lang w:val="es-ES_tradnl"/>
        </w:rPr>
        <w:t xml:space="preserve">Para lograr la protección del Estado frente a amenazas exteriores, además del adiestramiento bélico propio de las Fuerzas Armadas, se reconoce en la doctrina militar la indispensable cualidad de disciplina de los institutos militares. </w:t>
      </w:r>
    </w:p>
    <w:p w14:paraId="7655167D" w14:textId="45F28215" w:rsidR="00B21DB9" w:rsidRPr="00B72B75" w:rsidRDefault="00B21DB9" w:rsidP="00B21DB9">
      <w:pPr>
        <w:jc w:val="both"/>
        <w:rPr>
          <w:rFonts w:ascii="Arial" w:hAnsi="Arial" w:cs="Arial"/>
          <w:sz w:val="24"/>
          <w:szCs w:val="24"/>
          <w:lang w:val="es-ES_tradnl"/>
        </w:rPr>
      </w:pPr>
      <w:r w:rsidRPr="00B72B75">
        <w:rPr>
          <w:rFonts w:ascii="Arial" w:hAnsi="Arial" w:cs="Arial"/>
          <w:sz w:val="24"/>
          <w:szCs w:val="24"/>
          <w:lang w:val="es-ES_tradnl"/>
        </w:rPr>
        <w:t>Acorde al valor de la disciplina militar, en nuestro sistema jurídico se consagra un sistema de validez formal y de eficacia de las órdenes militares, basado en la jerarquía militar, que permite a los mandos militares hacer que los subordinados cumplan sus órdenes, sin que estos últimos puedan oponerse a pesar del contenido del mandato.</w:t>
      </w:r>
    </w:p>
    <w:p w14:paraId="394CBE42" w14:textId="038CA715" w:rsidR="00B21DB9" w:rsidRPr="00B72B75" w:rsidRDefault="00B21DB9" w:rsidP="00B21DB9">
      <w:pPr>
        <w:jc w:val="both"/>
        <w:rPr>
          <w:rFonts w:ascii="Arial" w:hAnsi="Arial" w:cs="Arial"/>
          <w:sz w:val="24"/>
          <w:szCs w:val="24"/>
          <w:lang w:val="es-ES_tradnl"/>
        </w:rPr>
      </w:pPr>
      <w:r w:rsidRPr="00B72B75">
        <w:rPr>
          <w:rFonts w:ascii="Arial" w:hAnsi="Arial" w:cs="Arial"/>
          <w:sz w:val="24"/>
          <w:szCs w:val="24"/>
          <w:lang w:val="es-ES_tradnl"/>
        </w:rPr>
        <w:t xml:space="preserve">En el Ejército y Fuerza Aérea Mexicanos es posible que las órdenes de superior a inferior se impongan por la fuerza y por las armas, según el artículo 6 de la </w:t>
      </w:r>
      <w:r w:rsidRPr="00B72B75">
        <w:rPr>
          <w:rFonts w:ascii="Arial" w:hAnsi="Arial" w:cs="Arial"/>
          <w:sz w:val="24"/>
          <w:szCs w:val="24"/>
        </w:rPr>
        <w:t>Ley de Disciplina del Ejército y Fuerza Aérea</w:t>
      </w:r>
      <w:r w:rsidRPr="00B72B75">
        <w:rPr>
          <w:rStyle w:val="Refdenotaalpie"/>
          <w:rFonts w:ascii="Arial" w:hAnsi="Arial" w:cs="Arial"/>
          <w:sz w:val="24"/>
          <w:szCs w:val="24"/>
          <w:lang w:val="es-ES_tradnl"/>
        </w:rPr>
        <w:footnoteReference w:id="36"/>
      </w:r>
      <w:r w:rsidRPr="00B72B75">
        <w:rPr>
          <w:rFonts w:ascii="Arial" w:hAnsi="Arial" w:cs="Arial"/>
          <w:sz w:val="24"/>
          <w:szCs w:val="24"/>
        </w:rPr>
        <w:t xml:space="preserve">, </w:t>
      </w:r>
      <w:r w:rsidRPr="00B72B75">
        <w:rPr>
          <w:rFonts w:ascii="Arial" w:hAnsi="Arial" w:cs="Arial"/>
          <w:sz w:val="24"/>
          <w:szCs w:val="24"/>
          <w:lang w:val="es-ES_tradnl"/>
        </w:rPr>
        <w:t xml:space="preserve">de tal forma que se otorga a los mandos superiores la capacidad legal de hacer que sus subordinados obedezcan casi cualquier </w:t>
      </w:r>
      <w:r w:rsidRPr="00B72B75">
        <w:rPr>
          <w:rFonts w:ascii="Arial" w:hAnsi="Arial" w:cs="Arial"/>
          <w:sz w:val="24"/>
          <w:szCs w:val="24"/>
          <w:lang w:val="es-ES_tradnl"/>
        </w:rPr>
        <w:lastRenderedPageBreak/>
        <w:t xml:space="preserve">mandato; por lo que respecta al personal de la Armada de México, ellos tienen el deber de cumplir incluso aquellas órdenes que puedan constituir una infracción disciplinaria, es decir ilícitas, ante lo cual sólo tienen la posibilidad de dejar constancia por escrito de la orden emitida por su superior jerárquico para así salvaguardar su responsabilidad, pero no para evitar su cumplimiento, según lo establece el artículo 17 de la </w:t>
      </w:r>
      <w:r w:rsidRPr="00B72B75">
        <w:rPr>
          <w:rFonts w:ascii="Arial" w:hAnsi="Arial" w:cs="Arial"/>
          <w:sz w:val="24"/>
          <w:szCs w:val="24"/>
        </w:rPr>
        <w:t>Ley de Disciplina para el Personal de La Armada de México</w:t>
      </w:r>
      <w:r w:rsidRPr="00B72B75">
        <w:rPr>
          <w:rStyle w:val="Refdenotaalpie"/>
          <w:rFonts w:ascii="Arial" w:hAnsi="Arial" w:cs="Arial"/>
          <w:sz w:val="24"/>
          <w:szCs w:val="24"/>
          <w:lang w:val="es-ES_tradnl"/>
        </w:rPr>
        <w:footnoteReference w:id="37"/>
      </w:r>
      <w:r w:rsidRPr="00B72B75">
        <w:rPr>
          <w:rFonts w:ascii="Arial" w:hAnsi="Arial" w:cs="Arial"/>
          <w:sz w:val="24"/>
          <w:szCs w:val="24"/>
          <w:lang w:val="es-ES_tradnl"/>
        </w:rPr>
        <w:t>.</w:t>
      </w:r>
    </w:p>
    <w:p w14:paraId="5DAAC91A" w14:textId="0CF090B4" w:rsidR="00B21DB9" w:rsidRDefault="00B21DB9" w:rsidP="00AD4EB6">
      <w:pPr>
        <w:jc w:val="both"/>
        <w:rPr>
          <w:rFonts w:ascii="Arial" w:hAnsi="Arial" w:cs="Arial"/>
          <w:sz w:val="24"/>
          <w:szCs w:val="24"/>
        </w:rPr>
      </w:pPr>
      <w:r>
        <w:rPr>
          <w:rFonts w:ascii="Arial" w:hAnsi="Arial" w:cs="Arial"/>
          <w:sz w:val="24"/>
          <w:szCs w:val="24"/>
        </w:rPr>
        <w:t xml:space="preserve">De ahí, que resulta un riesgo para la paz y la seguridad personal, la participación de las Fuerzas Armadas en tareas de seguridad pública, así como la incorporación de la Guardia Nacional a las Fuerzas Armadas en tareas de seguridad pública. </w:t>
      </w:r>
    </w:p>
    <w:p w14:paraId="0A87004F" w14:textId="7BF1E1F4" w:rsidR="00113BEB" w:rsidRPr="00533D3F" w:rsidRDefault="00A161EF" w:rsidP="00AD4EB6">
      <w:pPr>
        <w:jc w:val="both"/>
        <w:rPr>
          <w:rFonts w:ascii="Arial" w:hAnsi="Arial" w:cs="Arial"/>
          <w:sz w:val="24"/>
          <w:szCs w:val="24"/>
        </w:rPr>
      </w:pPr>
      <w:r w:rsidRPr="00533D3F">
        <w:rPr>
          <w:rFonts w:ascii="Arial" w:hAnsi="Arial" w:cs="Arial"/>
          <w:sz w:val="24"/>
          <w:szCs w:val="24"/>
        </w:rPr>
        <w:t xml:space="preserve">Por otra parte, semánticamente la palabra </w:t>
      </w:r>
      <w:r w:rsidR="00C721E9" w:rsidRPr="00533D3F">
        <w:rPr>
          <w:rFonts w:ascii="Arial" w:hAnsi="Arial" w:cs="Arial"/>
          <w:sz w:val="24"/>
          <w:szCs w:val="24"/>
        </w:rPr>
        <w:t>Civil significa según el Diccionari</w:t>
      </w:r>
      <w:r w:rsidRPr="00533D3F">
        <w:rPr>
          <w:rFonts w:ascii="Arial" w:hAnsi="Arial" w:cs="Arial"/>
          <w:sz w:val="24"/>
          <w:szCs w:val="24"/>
        </w:rPr>
        <w:t xml:space="preserve">o de la Real Academia Española: </w:t>
      </w:r>
      <w:r w:rsidR="00C721E9" w:rsidRPr="00533D3F">
        <w:rPr>
          <w:rStyle w:val="nacep"/>
          <w:rFonts w:ascii="Arial" w:eastAsia="Arial Unicode MS" w:hAnsi="Arial" w:cs="Arial"/>
          <w:bCs/>
          <w:color w:val="000000"/>
          <w:spacing w:val="4"/>
          <w:sz w:val="24"/>
          <w:szCs w:val="24"/>
          <w:shd w:val="clear" w:color="auto" w:fill="FFFFFF"/>
        </w:rPr>
        <w:t>q</w:t>
      </w:r>
      <w:r w:rsidR="00C721E9" w:rsidRPr="00533D3F">
        <w:rPr>
          <w:rFonts w:ascii="Arial" w:hAnsi="Arial" w:cs="Arial"/>
          <w:sz w:val="24"/>
          <w:szCs w:val="24"/>
        </w:rPr>
        <w:t>ue</w:t>
      </w:r>
      <w:r w:rsidR="00C721E9" w:rsidRPr="00533D3F">
        <w:rPr>
          <w:rFonts w:ascii="Arial" w:eastAsia="Arial Unicode MS" w:hAnsi="Arial" w:cs="Arial"/>
          <w:color w:val="000000"/>
          <w:spacing w:val="4"/>
          <w:sz w:val="24"/>
          <w:szCs w:val="24"/>
          <w:shd w:val="clear" w:color="auto" w:fill="FFFFFF"/>
        </w:rPr>
        <w:t> </w:t>
      </w:r>
      <w:r w:rsidR="00C721E9" w:rsidRPr="00533D3F">
        <w:rPr>
          <w:rFonts w:ascii="Arial" w:hAnsi="Arial" w:cs="Arial"/>
          <w:sz w:val="24"/>
          <w:szCs w:val="24"/>
        </w:rPr>
        <w:t>no</w:t>
      </w:r>
      <w:r w:rsidR="00C721E9" w:rsidRPr="00533D3F">
        <w:rPr>
          <w:rFonts w:ascii="Arial" w:eastAsia="Arial Unicode MS" w:hAnsi="Arial" w:cs="Arial"/>
          <w:color w:val="000000"/>
          <w:spacing w:val="4"/>
          <w:sz w:val="24"/>
          <w:szCs w:val="24"/>
          <w:shd w:val="clear" w:color="auto" w:fill="FFFFFF"/>
        </w:rPr>
        <w:t> </w:t>
      </w:r>
      <w:r w:rsidR="00C721E9" w:rsidRPr="00533D3F">
        <w:rPr>
          <w:rFonts w:ascii="Arial" w:hAnsi="Arial" w:cs="Arial"/>
          <w:sz w:val="24"/>
          <w:szCs w:val="24"/>
        </w:rPr>
        <w:t>es</w:t>
      </w:r>
      <w:r w:rsidR="00C721E9" w:rsidRPr="00533D3F">
        <w:rPr>
          <w:rFonts w:ascii="Arial" w:eastAsia="Arial Unicode MS" w:hAnsi="Arial" w:cs="Arial"/>
          <w:color w:val="000000"/>
          <w:spacing w:val="4"/>
          <w:sz w:val="24"/>
          <w:szCs w:val="24"/>
          <w:shd w:val="clear" w:color="auto" w:fill="FFFFFF"/>
        </w:rPr>
        <w:t> </w:t>
      </w:r>
      <w:r w:rsidR="00C721E9" w:rsidRPr="00533D3F">
        <w:rPr>
          <w:rFonts w:ascii="Arial" w:hAnsi="Arial" w:cs="Arial"/>
          <w:sz w:val="24"/>
          <w:szCs w:val="24"/>
        </w:rPr>
        <w:t>militar</w:t>
      </w:r>
      <w:r w:rsidR="00C721E9" w:rsidRPr="00533D3F">
        <w:rPr>
          <w:rFonts w:ascii="Arial" w:eastAsia="Arial Unicode MS" w:hAnsi="Arial" w:cs="Arial"/>
          <w:color w:val="000000"/>
          <w:spacing w:val="4"/>
          <w:sz w:val="24"/>
          <w:szCs w:val="24"/>
          <w:shd w:val="clear" w:color="auto" w:fill="FFFFFF"/>
        </w:rPr>
        <w:t> </w:t>
      </w:r>
      <w:r w:rsidR="00C721E9" w:rsidRPr="00533D3F">
        <w:rPr>
          <w:rFonts w:ascii="Arial" w:hAnsi="Arial" w:cs="Arial"/>
          <w:sz w:val="24"/>
          <w:szCs w:val="24"/>
        </w:rPr>
        <w:t>ni</w:t>
      </w:r>
      <w:r w:rsidR="00C721E9" w:rsidRPr="00533D3F">
        <w:rPr>
          <w:rFonts w:ascii="Arial" w:eastAsia="Arial Unicode MS" w:hAnsi="Arial" w:cs="Arial"/>
          <w:color w:val="000000"/>
          <w:spacing w:val="4"/>
          <w:sz w:val="24"/>
          <w:szCs w:val="24"/>
          <w:shd w:val="clear" w:color="auto" w:fill="FFFFFF"/>
        </w:rPr>
        <w:t> </w:t>
      </w:r>
      <w:r w:rsidR="00C721E9" w:rsidRPr="00533D3F">
        <w:rPr>
          <w:rFonts w:ascii="Arial" w:hAnsi="Arial" w:cs="Arial"/>
          <w:sz w:val="24"/>
          <w:szCs w:val="24"/>
        </w:rPr>
        <w:t>eclesiástico</w:t>
      </w:r>
      <w:r w:rsidR="00C721E9" w:rsidRPr="00533D3F">
        <w:rPr>
          <w:rFonts w:ascii="Arial" w:eastAsia="Arial Unicode MS" w:hAnsi="Arial" w:cs="Arial"/>
          <w:color w:val="000000"/>
          <w:spacing w:val="4"/>
          <w:sz w:val="24"/>
          <w:szCs w:val="24"/>
          <w:shd w:val="clear" w:color="auto" w:fill="FFFFFF"/>
        </w:rPr>
        <w:t> </w:t>
      </w:r>
      <w:r w:rsidR="00C721E9" w:rsidRPr="00533D3F">
        <w:rPr>
          <w:rFonts w:ascii="Arial" w:hAnsi="Arial" w:cs="Arial"/>
          <w:sz w:val="24"/>
          <w:szCs w:val="24"/>
        </w:rPr>
        <w:t>o</w:t>
      </w:r>
      <w:r w:rsidR="00C721E9" w:rsidRPr="00533D3F">
        <w:rPr>
          <w:rFonts w:ascii="Arial" w:eastAsia="Arial Unicode MS" w:hAnsi="Arial" w:cs="Arial"/>
          <w:color w:val="000000"/>
          <w:spacing w:val="4"/>
          <w:sz w:val="24"/>
          <w:szCs w:val="24"/>
          <w:shd w:val="clear" w:color="auto" w:fill="FFFFFF"/>
        </w:rPr>
        <w:t> </w:t>
      </w:r>
      <w:r w:rsidR="00C721E9" w:rsidRPr="00533D3F">
        <w:rPr>
          <w:rFonts w:ascii="Arial" w:hAnsi="Arial" w:cs="Arial"/>
          <w:sz w:val="24"/>
          <w:szCs w:val="24"/>
        </w:rPr>
        <w:t>religioso</w:t>
      </w:r>
      <w:r w:rsidR="00C721E9" w:rsidRPr="00533D3F">
        <w:rPr>
          <w:rFonts w:ascii="Arial" w:eastAsia="Arial Unicode MS" w:hAnsi="Arial" w:cs="Arial"/>
          <w:color w:val="000000"/>
          <w:spacing w:val="4"/>
          <w:sz w:val="24"/>
          <w:szCs w:val="24"/>
          <w:shd w:val="clear" w:color="auto" w:fill="FFFFFF"/>
        </w:rPr>
        <w:t>.</w:t>
      </w:r>
      <w:r w:rsidR="003C16F0" w:rsidRPr="00533D3F">
        <w:rPr>
          <w:rFonts w:ascii="Arial" w:eastAsia="Arial Unicode MS" w:hAnsi="Arial" w:cs="Arial"/>
          <w:color w:val="000000"/>
          <w:spacing w:val="4"/>
          <w:sz w:val="24"/>
          <w:szCs w:val="24"/>
          <w:shd w:val="clear" w:color="auto" w:fill="FFFFFF"/>
        </w:rPr>
        <w:t xml:space="preserve"> Mientras que por militar se entienda servir en la guerra o profesar la milicia. </w:t>
      </w:r>
      <w:r w:rsidR="00830F21" w:rsidRPr="00533D3F">
        <w:rPr>
          <w:rFonts w:ascii="Arial" w:eastAsia="Arial Unicode MS" w:hAnsi="Arial" w:cs="Arial"/>
          <w:color w:val="000000"/>
          <w:spacing w:val="4"/>
          <w:sz w:val="24"/>
          <w:szCs w:val="24"/>
          <w:shd w:val="clear" w:color="auto" w:fill="FFFFFF"/>
        </w:rPr>
        <w:t xml:space="preserve">Y por milicia arte de hacer la guerra y de disciplinar a los soldados para ella, servicio o profesión militar. </w:t>
      </w:r>
    </w:p>
    <w:p w14:paraId="45A89013" w14:textId="4BB26FC9" w:rsidR="00A161EF" w:rsidRPr="00533D3F" w:rsidRDefault="00A161EF" w:rsidP="00AD4EB6">
      <w:pPr>
        <w:jc w:val="both"/>
        <w:rPr>
          <w:rFonts w:ascii="Arial" w:hAnsi="Arial" w:cs="Arial"/>
          <w:sz w:val="24"/>
          <w:szCs w:val="24"/>
        </w:rPr>
      </w:pPr>
      <w:r w:rsidRPr="00533D3F">
        <w:rPr>
          <w:rFonts w:ascii="Arial" w:hAnsi="Arial" w:cs="Arial"/>
          <w:sz w:val="24"/>
          <w:szCs w:val="24"/>
        </w:rPr>
        <w:t>Luego si nos remitimos a los conceptos jurídicos para diferenciar entre derecho civil y derecho militar, podemos encontrar varias diferencias</w:t>
      </w:r>
      <w:r w:rsidR="00F17A9F" w:rsidRPr="00533D3F">
        <w:rPr>
          <w:rFonts w:ascii="Arial" w:hAnsi="Arial" w:cs="Arial"/>
          <w:sz w:val="24"/>
          <w:szCs w:val="24"/>
        </w:rPr>
        <w:t xml:space="preserve"> entre lo civil y lo militar</w:t>
      </w:r>
      <w:r w:rsidRPr="00533D3F">
        <w:rPr>
          <w:rFonts w:ascii="Arial" w:hAnsi="Arial" w:cs="Arial"/>
          <w:sz w:val="24"/>
          <w:szCs w:val="24"/>
        </w:rPr>
        <w:t>:</w:t>
      </w:r>
    </w:p>
    <w:p w14:paraId="4D12CB77" w14:textId="74184EB1" w:rsidR="00D71794" w:rsidRPr="00533D3F" w:rsidRDefault="00A161EF" w:rsidP="00AD4EB6">
      <w:pPr>
        <w:jc w:val="both"/>
        <w:rPr>
          <w:rFonts w:ascii="Arial" w:hAnsi="Arial" w:cs="Arial"/>
          <w:sz w:val="24"/>
          <w:szCs w:val="24"/>
        </w:rPr>
      </w:pPr>
      <w:r w:rsidRPr="00533D3F">
        <w:rPr>
          <w:rFonts w:ascii="Arial" w:hAnsi="Arial" w:cs="Arial"/>
          <w:sz w:val="24"/>
          <w:szCs w:val="24"/>
        </w:rPr>
        <w:t>El d</w:t>
      </w:r>
      <w:r w:rsidR="00D71794" w:rsidRPr="00533D3F">
        <w:rPr>
          <w:rFonts w:ascii="Arial" w:hAnsi="Arial" w:cs="Arial"/>
          <w:sz w:val="24"/>
          <w:szCs w:val="24"/>
        </w:rPr>
        <w:t>erecho civil</w:t>
      </w:r>
      <w:r w:rsidRPr="00533D3F">
        <w:rPr>
          <w:rFonts w:ascii="Arial" w:hAnsi="Arial" w:cs="Arial"/>
          <w:sz w:val="24"/>
          <w:szCs w:val="24"/>
        </w:rPr>
        <w:t xml:space="preserve"> es la r</w:t>
      </w:r>
      <w:r w:rsidR="003F2FC9" w:rsidRPr="00533D3F">
        <w:rPr>
          <w:rFonts w:ascii="Arial" w:hAnsi="Arial" w:cs="Arial"/>
          <w:sz w:val="24"/>
          <w:szCs w:val="24"/>
        </w:rPr>
        <w:t xml:space="preserve">ama del derecho privado constituida por un conjunto de normas que se refieren a las relaciones jurídicas de la vida ordinaria del ser humano, en su categoría de persona. </w:t>
      </w:r>
      <w:r w:rsidR="00C721E9" w:rsidRPr="00533D3F">
        <w:rPr>
          <w:rFonts w:ascii="Arial" w:hAnsi="Arial" w:cs="Arial"/>
          <w:sz w:val="24"/>
          <w:szCs w:val="24"/>
        </w:rPr>
        <w:t>En la actualidad, forman parte del derecho civil aquellas reglas del derech</w:t>
      </w:r>
      <w:r w:rsidR="00F17A9F" w:rsidRPr="00533D3F">
        <w:rPr>
          <w:rFonts w:ascii="Arial" w:hAnsi="Arial" w:cs="Arial"/>
          <w:sz w:val="24"/>
          <w:szCs w:val="24"/>
        </w:rPr>
        <w:t>o</w:t>
      </w:r>
      <w:r w:rsidR="00C721E9" w:rsidRPr="00533D3F">
        <w:rPr>
          <w:rFonts w:ascii="Arial" w:hAnsi="Arial" w:cs="Arial"/>
          <w:sz w:val="24"/>
          <w:szCs w:val="24"/>
        </w:rPr>
        <w:t xml:space="preserve"> mercanti</w:t>
      </w:r>
      <w:r w:rsidR="00F17A9F" w:rsidRPr="00533D3F">
        <w:rPr>
          <w:rFonts w:ascii="Arial" w:hAnsi="Arial" w:cs="Arial"/>
          <w:sz w:val="24"/>
          <w:szCs w:val="24"/>
        </w:rPr>
        <w:t>l</w:t>
      </w:r>
      <w:r w:rsidR="00C721E9" w:rsidRPr="00533D3F">
        <w:rPr>
          <w:rFonts w:ascii="Arial" w:hAnsi="Arial" w:cs="Arial"/>
          <w:sz w:val="24"/>
          <w:szCs w:val="24"/>
        </w:rPr>
        <w:t>, constituyen el ámbito del derecho privado;  pero al paso que estas últimas reclaman para sí la disciplina del acto de comercio y de la persona en su situación de comerciante, las del derecho civ</w:t>
      </w:r>
      <w:r w:rsidR="00F17A9F" w:rsidRPr="00533D3F">
        <w:rPr>
          <w:rFonts w:ascii="Arial" w:hAnsi="Arial" w:cs="Arial"/>
          <w:sz w:val="24"/>
          <w:szCs w:val="24"/>
        </w:rPr>
        <w:t>il consideran a la persona en u</w:t>
      </w:r>
      <w:r w:rsidR="00C721E9" w:rsidRPr="00533D3F">
        <w:rPr>
          <w:rFonts w:ascii="Arial" w:hAnsi="Arial" w:cs="Arial"/>
          <w:sz w:val="24"/>
          <w:szCs w:val="24"/>
        </w:rPr>
        <w:t>n</w:t>
      </w:r>
      <w:r w:rsidR="00F17A9F" w:rsidRPr="00533D3F">
        <w:rPr>
          <w:rFonts w:ascii="Arial" w:hAnsi="Arial" w:cs="Arial"/>
          <w:sz w:val="24"/>
          <w:szCs w:val="24"/>
        </w:rPr>
        <w:t xml:space="preserve"> </w:t>
      </w:r>
      <w:r w:rsidR="00C721E9" w:rsidRPr="00533D3F">
        <w:rPr>
          <w:rFonts w:ascii="Arial" w:hAnsi="Arial" w:cs="Arial"/>
          <w:sz w:val="24"/>
          <w:szCs w:val="24"/>
        </w:rPr>
        <w:t>punto de vista bastante más amplio y más general, pues se interesan en ella, en atención a su calidad y a su dignidad de ser humano considerado con capacidad de goce y, por lo tanto, con personalidad y, a la vez, como miembro de una familia y como titular de un patrimonio. De allí que esta rama del derecho privado comprenda todo un sistema jurídico coherente, construido alrededor de la persona (personalidad y capacidad), del patrimonio (bienes, contratos, sucesiones) y de la familia (matrimonio, filiación, patria potestad y tutela)</w:t>
      </w:r>
      <w:r w:rsidR="00F17A9F" w:rsidRPr="00533D3F">
        <w:rPr>
          <w:rStyle w:val="Refdenotaalpie"/>
          <w:rFonts w:ascii="Arial" w:hAnsi="Arial" w:cs="Arial"/>
          <w:sz w:val="24"/>
          <w:szCs w:val="24"/>
        </w:rPr>
        <w:footnoteReference w:id="38"/>
      </w:r>
      <w:r w:rsidR="00C721E9" w:rsidRPr="00533D3F">
        <w:rPr>
          <w:rFonts w:ascii="Arial" w:hAnsi="Arial" w:cs="Arial"/>
          <w:sz w:val="24"/>
          <w:szCs w:val="24"/>
        </w:rPr>
        <w:t xml:space="preserve">. </w:t>
      </w:r>
    </w:p>
    <w:p w14:paraId="4F7643B7" w14:textId="7F632D2B" w:rsidR="00A829F5" w:rsidRPr="00533D3F" w:rsidRDefault="00F65A18" w:rsidP="00AD4EB6">
      <w:pPr>
        <w:jc w:val="both"/>
        <w:rPr>
          <w:rFonts w:ascii="Arial" w:hAnsi="Arial" w:cs="Arial"/>
          <w:sz w:val="24"/>
          <w:szCs w:val="24"/>
        </w:rPr>
      </w:pPr>
      <w:r w:rsidRPr="00533D3F">
        <w:rPr>
          <w:rFonts w:ascii="Arial" w:hAnsi="Arial" w:cs="Arial"/>
          <w:sz w:val="24"/>
          <w:szCs w:val="24"/>
        </w:rPr>
        <w:t>Derecho militar. Es el conjunto de normas legales que rigen la organización, funcionamiento y desarrollo de las fuerzas armadas de un país.</w:t>
      </w:r>
      <w:r w:rsidR="00F17A9F" w:rsidRPr="00533D3F">
        <w:rPr>
          <w:rFonts w:ascii="Arial" w:hAnsi="Arial" w:cs="Arial"/>
          <w:sz w:val="24"/>
          <w:szCs w:val="24"/>
        </w:rPr>
        <w:t xml:space="preserve"> </w:t>
      </w:r>
      <w:r w:rsidRPr="00533D3F">
        <w:rPr>
          <w:rFonts w:ascii="Arial" w:hAnsi="Arial" w:cs="Arial"/>
          <w:sz w:val="24"/>
          <w:szCs w:val="24"/>
        </w:rPr>
        <w:t>[…] Los tratadistas están de acuerdo en que la esencia de esta rama de la ciencia jurídica se encuentra en la existencia misma de la sociedad armada, que las finalidades que tiene y que llena y, consecuentemente, la necesidad de constituirla legalmente en forma independiente del orden común o civil; de manera que si el derecho castrense se inspira en la técnica de la institución militar y ésta a su vez, en la disciplina, que otorga cohesión y eficacia a las fuerzas armadas, estimamos que el derecho militar se basa fundamentalmente en dos presupuestos: el ejército y la disciplina castrense, siendo esta última como indica Vejar Vázquez, el nervio vital de aquel.</w:t>
      </w:r>
      <w:r w:rsidR="00F17A9F" w:rsidRPr="00533D3F">
        <w:rPr>
          <w:rStyle w:val="Refdenotaalpie"/>
          <w:rFonts w:ascii="Arial" w:hAnsi="Arial" w:cs="Arial"/>
          <w:sz w:val="24"/>
          <w:szCs w:val="24"/>
        </w:rPr>
        <w:footnoteReference w:id="39"/>
      </w:r>
    </w:p>
    <w:p w14:paraId="27EE499F" w14:textId="074F6581" w:rsidR="00A829F5" w:rsidRPr="00533D3F" w:rsidRDefault="00A829F5" w:rsidP="00AD4EB6">
      <w:pPr>
        <w:jc w:val="both"/>
        <w:rPr>
          <w:rFonts w:ascii="Arial" w:hAnsi="Arial" w:cs="Arial"/>
          <w:sz w:val="24"/>
          <w:szCs w:val="24"/>
        </w:rPr>
      </w:pPr>
      <w:r w:rsidRPr="00533D3F">
        <w:rPr>
          <w:rFonts w:ascii="Arial" w:hAnsi="Arial" w:cs="Arial"/>
          <w:sz w:val="24"/>
          <w:szCs w:val="24"/>
        </w:rPr>
        <w:t xml:space="preserve">Por </w:t>
      </w:r>
      <w:r w:rsidR="00C8561E" w:rsidRPr="00533D3F">
        <w:rPr>
          <w:rFonts w:ascii="Arial" w:hAnsi="Arial" w:cs="Arial"/>
          <w:sz w:val="24"/>
          <w:szCs w:val="24"/>
        </w:rPr>
        <w:t>otro lado,</w:t>
      </w:r>
      <w:r w:rsidRPr="00533D3F">
        <w:rPr>
          <w:rFonts w:ascii="Arial" w:hAnsi="Arial" w:cs="Arial"/>
          <w:sz w:val="24"/>
          <w:szCs w:val="24"/>
        </w:rPr>
        <w:t xml:space="preserve"> el artículo </w:t>
      </w:r>
      <w:r w:rsidR="00282E74" w:rsidRPr="00533D3F">
        <w:rPr>
          <w:rFonts w:ascii="Arial" w:hAnsi="Arial" w:cs="Arial"/>
          <w:sz w:val="24"/>
          <w:szCs w:val="24"/>
        </w:rPr>
        <w:t xml:space="preserve">5, </w:t>
      </w:r>
      <w:r w:rsidRPr="00533D3F">
        <w:rPr>
          <w:rFonts w:ascii="Arial" w:hAnsi="Arial" w:cs="Arial"/>
          <w:sz w:val="24"/>
          <w:szCs w:val="24"/>
        </w:rPr>
        <w:t xml:space="preserve">6 y 7 de la Ley Orgánica del Ejército y Fuerza Aérea Mexicanos, </w:t>
      </w:r>
      <w:r w:rsidR="00C8561E" w:rsidRPr="00533D3F">
        <w:rPr>
          <w:rFonts w:ascii="Arial" w:hAnsi="Arial" w:cs="Arial"/>
          <w:sz w:val="24"/>
          <w:szCs w:val="24"/>
        </w:rPr>
        <w:t>quienes son los militares, son</w:t>
      </w:r>
      <w:r w:rsidRPr="00533D3F">
        <w:rPr>
          <w:rFonts w:ascii="Arial" w:hAnsi="Arial" w:cs="Arial"/>
          <w:sz w:val="24"/>
          <w:szCs w:val="24"/>
        </w:rPr>
        <w:t xml:space="preserve"> los mexicanos que decidan prestar sus servicios en las Instituciones Armadas de tierra y aire, en forma voluntaria, firmarán un contrato manifestando su conformidad para permanecer en dichas Fuerzas Armadas por un tiempo determinado, </w:t>
      </w:r>
      <w:r w:rsidR="00282E74" w:rsidRPr="00533D3F">
        <w:rPr>
          <w:rFonts w:ascii="Arial" w:hAnsi="Arial" w:cs="Arial"/>
          <w:sz w:val="24"/>
          <w:szCs w:val="24"/>
        </w:rPr>
        <w:t>así como</w:t>
      </w:r>
      <w:r w:rsidRPr="00533D3F">
        <w:rPr>
          <w:rFonts w:ascii="Arial" w:hAnsi="Arial" w:cs="Arial"/>
          <w:sz w:val="24"/>
          <w:szCs w:val="24"/>
        </w:rPr>
        <w:t xml:space="preserve"> que </w:t>
      </w:r>
      <w:r w:rsidR="0004407F" w:rsidRPr="00533D3F">
        <w:rPr>
          <w:rFonts w:ascii="Arial" w:hAnsi="Arial" w:cs="Arial"/>
          <w:sz w:val="24"/>
          <w:szCs w:val="24"/>
        </w:rPr>
        <w:t>los</w:t>
      </w:r>
      <w:r w:rsidR="00282E74" w:rsidRPr="00533D3F">
        <w:rPr>
          <w:rFonts w:ascii="Arial" w:hAnsi="Arial" w:cs="Arial"/>
          <w:sz w:val="24"/>
          <w:szCs w:val="24"/>
        </w:rPr>
        <w:t xml:space="preserve"> miembros del Ejército y Fuerza Aérea </w:t>
      </w:r>
      <w:r w:rsidR="00282E74" w:rsidRPr="00533D3F">
        <w:rPr>
          <w:rFonts w:ascii="Arial" w:hAnsi="Arial" w:cs="Arial"/>
          <w:sz w:val="24"/>
          <w:szCs w:val="24"/>
        </w:rPr>
        <w:lastRenderedPageBreak/>
        <w:t>Mexicanos, por norma Constitucional pertenecen al Servicio Militar Voluntario o al Servicio Militar Nacional</w:t>
      </w:r>
      <w:r w:rsidR="0004407F" w:rsidRPr="00533D3F">
        <w:rPr>
          <w:rFonts w:ascii="Arial" w:hAnsi="Arial" w:cs="Arial"/>
          <w:sz w:val="24"/>
          <w:szCs w:val="24"/>
        </w:rPr>
        <w:t xml:space="preserve"> mexicanos que </w:t>
      </w:r>
      <w:r w:rsidRPr="00533D3F">
        <w:rPr>
          <w:rFonts w:ascii="Arial" w:hAnsi="Arial" w:cs="Arial"/>
          <w:sz w:val="24"/>
          <w:szCs w:val="24"/>
        </w:rPr>
        <w:t>integran el Servicio Militar Nacional, durante su permanencia en el activo de las Fuerzas Armadas, quedarán sujetos a las Leyes, Reglamentos y disposiciones militares</w:t>
      </w:r>
      <w:r w:rsidR="00282E74" w:rsidRPr="00533D3F">
        <w:rPr>
          <w:rFonts w:ascii="Arial" w:hAnsi="Arial" w:cs="Arial"/>
          <w:sz w:val="24"/>
          <w:szCs w:val="24"/>
        </w:rPr>
        <w:t>.</w:t>
      </w:r>
    </w:p>
    <w:p w14:paraId="6B41B20B" w14:textId="239C4F18" w:rsidR="00225E93" w:rsidRPr="00533D3F" w:rsidRDefault="00C8561E" w:rsidP="00AD4EB6">
      <w:pPr>
        <w:jc w:val="both"/>
        <w:rPr>
          <w:rFonts w:ascii="Arial" w:hAnsi="Arial" w:cs="Arial"/>
          <w:sz w:val="24"/>
          <w:szCs w:val="24"/>
        </w:rPr>
      </w:pPr>
      <w:r w:rsidRPr="00533D3F">
        <w:rPr>
          <w:rFonts w:ascii="Arial" w:hAnsi="Arial" w:cs="Arial"/>
          <w:sz w:val="24"/>
          <w:szCs w:val="24"/>
        </w:rPr>
        <w:t>Adicionalmente, s</w:t>
      </w:r>
      <w:r w:rsidR="00225E93" w:rsidRPr="00533D3F">
        <w:rPr>
          <w:rFonts w:ascii="Arial" w:hAnsi="Arial" w:cs="Arial"/>
          <w:sz w:val="24"/>
          <w:szCs w:val="24"/>
        </w:rPr>
        <w:t>irven de apoyo para diferenciar entre lo militar y lo civil los siguientes criterios del rubro y texto siguiente:</w:t>
      </w:r>
    </w:p>
    <w:p w14:paraId="78221271" w14:textId="16DD31ED" w:rsidR="00225E93" w:rsidRPr="00225E93" w:rsidRDefault="00225E93" w:rsidP="00225E93">
      <w:pPr>
        <w:ind w:left="708"/>
        <w:jc w:val="both"/>
        <w:rPr>
          <w:rFonts w:ascii="Arial" w:hAnsi="Arial" w:cs="Arial"/>
          <w:i/>
          <w:sz w:val="20"/>
        </w:rPr>
      </w:pPr>
      <w:r w:rsidRPr="00225E93">
        <w:rPr>
          <w:rFonts w:ascii="Arial" w:hAnsi="Arial" w:cs="Arial"/>
          <w:b/>
          <w:i/>
          <w:sz w:val="20"/>
        </w:rPr>
        <w:t>“FUERO MILITAR. EL ARTÍCULO 57, FRACCIÓN II, INCISO A), DEL CÓDIGO DE JUSTICIA MILITAR CONTRAVIENE LA CONVENCIÓN AMERICANA SOBRE DERECHOS HUMANOS.</w:t>
      </w:r>
      <w:r w:rsidRPr="00225E93">
        <w:rPr>
          <w:rFonts w:ascii="Arial" w:hAnsi="Arial" w:cs="Arial"/>
          <w:i/>
          <w:sz w:val="20"/>
        </w:rPr>
        <w:t xml:space="preserve"> La Corte Interamericana de Derechos Humanos, al resolver el caso Radilla Pacheco vs. Estados Unidos Mexicanos, con base en los artículos 2 y 8.1 de la Convención Americana sobre Derechos Humanos, determinó que las conductas cometidas por militares que puedan vulnerar derechos humanos de civiles no pueden ser competencia de la jurisdicción militar, porque en ese supuesto los tribunales militares ejercen jurisdicción no solamente respecto del imputado, sino también sobre la víctima civil, quien tiene derecho a participar en el proceso penal tanto para efectos de la reparación del daño, como para hacer efectivos sus derechos a la verdad y a la justicia. En este contexto, el artículo 57, fracción II, inciso a), del Código de Justicia Militar, al dar lugar a que la jurisdicción militar conozca de las causas penales seguidas contra militares respecto de delitos del orden común o federal que, cometidos por aquéllos al estar en servicio o con motivo de éste, puedan afectar los derechos humanos de personas civiles, contraviene la Convención Americana sobre Derechos Humanos y la sentencia emitida por la Corte Interamericana en el caso citado, máxime que de lo previsto en el artículo 13 de la Constitución Política de los Estados Unidos Mexicanos no se colige que la jurisdicción militar deba conocer de los juicios seguidos contra militares por delitos que puedan implicar violación de derechos humanos de víctimas civiles, como lo determinó el Tribunal Pleno de la Suprema Corte de Justicia de la Nación al resolver el expediente varios 912/2010”</w:t>
      </w:r>
      <w:r w:rsidRPr="00225E93">
        <w:rPr>
          <w:rStyle w:val="Refdenotaalpie"/>
          <w:rFonts w:ascii="Arial" w:hAnsi="Arial" w:cs="Arial"/>
          <w:i/>
          <w:sz w:val="20"/>
        </w:rPr>
        <w:footnoteReference w:id="40"/>
      </w:r>
    </w:p>
    <w:p w14:paraId="7DDA541E" w14:textId="41E8C041" w:rsidR="00225E93" w:rsidRPr="00225E93" w:rsidRDefault="00225E93" w:rsidP="00225E93">
      <w:pPr>
        <w:ind w:left="708"/>
        <w:jc w:val="both"/>
        <w:rPr>
          <w:rFonts w:ascii="Arial" w:hAnsi="Arial" w:cs="Arial"/>
          <w:i/>
          <w:sz w:val="20"/>
        </w:rPr>
      </w:pPr>
      <w:r w:rsidRPr="00225E93">
        <w:rPr>
          <w:rFonts w:ascii="Arial" w:hAnsi="Arial" w:cs="Arial"/>
          <w:i/>
          <w:sz w:val="20"/>
        </w:rPr>
        <w:t>“</w:t>
      </w:r>
      <w:r w:rsidRPr="00225E93">
        <w:rPr>
          <w:rFonts w:ascii="Arial" w:hAnsi="Arial" w:cs="Arial"/>
          <w:b/>
          <w:i/>
          <w:sz w:val="20"/>
        </w:rPr>
        <w:t>MILITARES. BAJA VOLUNTARIA. QUIENES LA SOLICITAN NO TIENEN DERECHO A LOS BENEFICIOS QUE COMO TALES LES CORRESPONDERIAN.</w:t>
      </w:r>
      <w:r w:rsidRPr="00225E93">
        <w:rPr>
          <w:rFonts w:ascii="Arial" w:hAnsi="Arial" w:cs="Arial"/>
          <w:i/>
          <w:sz w:val="20"/>
        </w:rPr>
        <w:t xml:space="preserve"> En el caso de que un militar solicite de manera voluntaria la baja de las fuerzas armadas, pierde el derecho a la compensación establecida en el artículo 170 de la Ley Orgánica del Ejército y Fuerza Aérea Mexicanos, ya que por virtud de dicha baja, dejó de pertenecer a la institución en la que laboraba y con ello quedó fuera de las regulaciones respectivas, pues de conformidad con el último párrafo del invocado numeral, la baja voluntaria implica la pérdida del derecho a reclamar prestaciones o beneficios, ostentándose así como civil al reclamo de los beneficios que como militar le correspondían en el tiempo en que prestó sus servicios”</w:t>
      </w:r>
      <w:r w:rsidRPr="00225E93">
        <w:rPr>
          <w:rStyle w:val="Refdenotaalpie"/>
          <w:rFonts w:ascii="Arial" w:hAnsi="Arial" w:cs="Arial"/>
          <w:i/>
          <w:sz w:val="20"/>
        </w:rPr>
        <w:footnoteReference w:id="41"/>
      </w:r>
    </w:p>
    <w:p w14:paraId="047F78A6" w14:textId="6CA87408" w:rsidR="0016436E" w:rsidRDefault="0016436E" w:rsidP="00C7698C">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 xml:space="preserve">De ahí que la Guardia Nacional no debe ser militar, ni religiosa, ni regularse por el derecho militar, sino que debe ser de carácter civil, por normas claro de derecho administrativo. </w:t>
      </w:r>
      <w:r w:rsidR="00C8561E">
        <w:rPr>
          <w:rFonts w:ascii="Arial" w:hAnsi="Arial" w:cs="Arial"/>
          <w:sz w:val="24"/>
          <w:szCs w:val="24"/>
          <w:shd w:val="clear" w:color="auto" w:fill="FFFFFF"/>
        </w:rPr>
        <w:t>Ojalá que todas estas diferencias se las puedan explicar los abogados del presidente al presidente y a los legisladores para que generen orden en el país</w:t>
      </w:r>
      <w:r w:rsidR="00BD16BC">
        <w:rPr>
          <w:rFonts w:ascii="Arial" w:hAnsi="Arial" w:cs="Arial"/>
          <w:sz w:val="24"/>
          <w:szCs w:val="24"/>
          <w:shd w:val="clear" w:color="auto" w:fill="FFFFFF"/>
        </w:rPr>
        <w:t>, para que sepan proponer y ordenar a cada secretaría de la administración pública federal tareas propias a su naturaleza inmediata a la denominación que llevan.</w:t>
      </w:r>
    </w:p>
    <w:p w14:paraId="3C6A9182" w14:textId="714B8C62" w:rsidR="008D2DCA" w:rsidRDefault="00402717" w:rsidP="00C7698C">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En el caso concreto las normas generales reclamadas contrarían al artículo 21 Constitucional</w:t>
      </w:r>
      <w:r w:rsidR="008D2DCA">
        <w:rPr>
          <w:rFonts w:ascii="Arial" w:hAnsi="Arial" w:cs="Arial"/>
          <w:sz w:val="24"/>
          <w:szCs w:val="24"/>
          <w:shd w:val="clear" w:color="auto" w:fill="FFFFFF"/>
        </w:rPr>
        <w:t>, en razón de que no respetan el carácter civil de la Guardia Nacional.</w:t>
      </w:r>
    </w:p>
    <w:p w14:paraId="41E80776" w14:textId="20BED277" w:rsidR="00C87E32" w:rsidRDefault="00402717" w:rsidP="00327004">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 xml:space="preserve"> </w:t>
      </w:r>
      <w:r w:rsidR="008D2DCA">
        <w:rPr>
          <w:rFonts w:ascii="Arial" w:hAnsi="Arial" w:cs="Arial"/>
          <w:sz w:val="24"/>
          <w:szCs w:val="24"/>
          <w:shd w:val="clear" w:color="auto" w:fill="FFFFFF"/>
        </w:rPr>
        <w:t>Así e</w:t>
      </w:r>
      <w:r w:rsidR="00DB7584">
        <w:rPr>
          <w:rFonts w:ascii="Arial" w:hAnsi="Arial" w:cs="Arial"/>
          <w:sz w:val="24"/>
          <w:szCs w:val="24"/>
          <w:shd w:val="clear" w:color="auto" w:fill="FFFFFF"/>
        </w:rPr>
        <w:t>l</w:t>
      </w:r>
      <w:r w:rsidR="001E0E13">
        <w:rPr>
          <w:rFonts w:ascii="Arial" w:hAnsi="Arial" w:cs="Arial"/>
          <w:sz w:val="24"/>
          <w:szCs w:val="24"/>
          <w:shd w:val="clear" w:color="auto" w:fill="FFFFFF"/>
        </w:rPr>
        <w:t xml:space="preserve"> artículo </w:t>
      </w:r>
      <w:r w:rsidR="00327004">
        <w:rPr>
          <w:rFonts w:ascii="Arial" w:hAnsi="Arial" w:cs="Arial"/>
          <w:sz w:val="24"/>
          <w:szCs w:val="24"/>
          <w:shd w:val="clear" w:color="auto" w:fill="FFFFFF"/>
        </w:rPr>
        <w:t>29, fracción IV, de la Ley Orgánica de la Administración Pública Federal</w:t>
      </w:r>
      <w:r w:rsidR="008D2DCA">
        <w:rPr>
          <w:rFonts w:ascii="Arial" w:hAnsi="Arial" w:cs="Arial"/>
          <w:sz w:val="24"/>
          <w:szCs w:val="24"/>
          <w:shd w:val="clear" w:color="auto" w:fill="FFFFFF"/>
        </w:rPr>
        <w:t xml:space="preserve">, otorga facultades a la Secretaría de la Defensa Nacional para ejercer el control operativo y administrativo de la Guardia Nacional, lo cual es </w:t>
      </w:r>
      <w:r w:rsidR="00C8561E">
        <w:rPr>
          <w:rFonts w:ascii="Arial" w:hAnsi="Arial" w:cs="Arial"/>
          <w:sz w:val="24"/>
          <w:szCs w:val="24"/>
          <w:shd w:val="clear" w:color="auto" w:fill="FFFFFF"/>
        </w:rPr>
        <w:t xml:space="preserve">inconstitucional, porque es </w:t>
      </w:r>
      <w:r w:rsidR="008D2DCA">
        <w:rPr>
          <w:rFonts w:ascii="Arial" w:hAnsi="Arial" w:cs="Arial"/>
          <w:sz w:val="24"/>
          <w:szCs w:val="24"/>
          <w:shd w:val="clear" w:color="auto" w:fill="FFFFFF"/>
        </w:rPr>
        <w:t xml:space="preserve">contrario con el carácter civil que exhorta el numeral 21 del </w:t>
      </w:r>
      <w:r w:rsidR="006B0730">
        <w:rPr>
          <w:rFonts w:ascii="Arial" w:hAnsi="Arial" w:cs="Arial"/>
          <w:sz w:val="24"/>
          <w:szCs w:val="24"/>
          <w:shd w:val="clear" w:color="auto" w:fill="FFFFFF"/>
        </w:rPr>
        <w:t xml:space="preserve">Texto Constitucional respecto al deber ser Constitucional de esta </w:t>
      </w:r>
      <w:r w:rsidR="008D2DCA">
        <w:rPr>
          <w:rFonts w:ascii="Arial" w:hAnsi="Arial" w:cs="Arial"/>
          <w:sz w:val="24"/>
          <w:szCs w:val="24"/>
          <w:shd w:val="clear" w:color="auto" w:fill="FFFFFF"/>
        </w:rPr>
        <w:t>institución policiaca y</w:t>
      </w:r>
      <w:r w:rsidR="006B0730">
        <w:rPr>
          <w:rFonts w:ascii="Arial" w:hAnsi="Arial" w:cs="Arial"/>
          <w:sz w:val="24"/>
          <w:szCs w:val="24"/>
          <w:shd w:val="clear" w:color="auto" w:fill="FFFFFF"/>
        </w:rPr>
        <w:t>,</w:t>
      </w:r>
      <w:r w:rsidR="008D2DCA">
        <w:rPr>
          <w:rFonts w:ascii="Arial" w:hAnsi="Arial" w:cs="Arial"/>
          <w:sz w:val="24"/>
          <w:szCs w:val="24"/>
          <w:shd w:val="clear" w:color="auto" w:fill="FFFFFF"/>
        </w:rPr>
        <w:t xml:space="preserve"> de hecho</w:t>
      </w:r>
      <w:r w:rsidR="006B0730">
        <w:rPr>
          <w:rFonts w:ascii="Arial" w:hAnsi="Arial" w:cs="Arial"/>
          <w:sz w:val="24"/>
          <w:szCs w:val="24"/>
          <w:shd w:val="clear" w:color="auto" w:fill="FFFFFF"/>
        </w:rPr>
        <w:t>,</w:t>
      </w:r>
      <w:r w:rsidR="008D2DCA">
        <w:rPr>
          <w:rFonts w:ascii="Arial" w:hAnsi="Arial" w:cs="Arial"/>
          <w:sz w:val="24"/>
          <w:szCs w:val="24"/>
          <w:shd w:val="clear" w:color="auto" w:fill="FFFFFF"/>
        </w:rPr>
        <w:t xml:space="preserve"> también es contrario en sí mismo a la Estrategia Nacional de Seguridad Pública que definió la Secretaría de Seguridad y Protección Ciudadana: </w:t>
      </w:r>
      <w:hyperlink r:id="rId37" w:anchor="gsc.tab=0" w:history="1">
        <w:r w:rsidR="008D2DCA" w:rsidRPr="008D2DCA">
          <w:rPr>
            <w:rStyle w:val="Hipervnculo"/>
            <w:rFonts w:ascii="Arial" w:hAnsi="Arial" w:cs="Arial"/>
            <w:sz w:val="20"/>
          </w:rPr>
          <w:t>https://www.dof.gob.mx/nota_detalle.php?codigo=5560463&amp;fecha=16/05/2019#gsc.tab=0</w:t>
        </w:r>
      </w:hyperlink>
      <w:r w:rsidR="008D2DCA">
        <w:rPr>
          <w:rFonts w:ascii="Arial" w:hAnsi="Arial" w:cs="Arial"/>
          <w:sz w:val="24"/>
          <w:szCs w:val="24"/>
          <w:shd w:val="clear" w:color="auto" w:fill="FFFFFF"/>
        </w:rPr>
        <w:t xml:space="preserve"> p</w:t>
      </w:r>
      <w:r w:rsidR="008D2DCA" w:rsidRPr="008D2DCA">
        <w:rPr>
          <w:rFonts w:ascii="Arial" w:hAnsi="Arial" w:cs="Arial"/>
          <w:sz w:val="24"/>
          <w:szCs w:val="24"/>
          <w:shd w:val="clear" w:color="auto" w:fill="FFFFFF"/>
        </w:rPr>
        <w:t>orque</w:t>
      </w:r>
      <w:r w:rsidR="006B0730">
        <w:rPr>
          <w:rFonts w:ascii="Arial" w:hAnsi="Arial" w:cs="Arial"/>
          <w:sz w:val="24"/>
          <w:szCs w:val="24"/>
          <w:shd w:val="clear" w:color="auto" w:fill="FFFFFF"/>
        </w:rPr>
        <w:t xml:space="preserve"> la norma general</w:t>
      </w:r>
      <w:r w:rsidR="008D2DCA" w:rsidRPr="008D2DCA">
        <w:rPr>
          <w:rFonts w:ascii="Arial" w:hAnsi="Arial" w:cs="Arial"/>
          <w:sz w:val="24"/>
          <w:szCs w:val="24"/>
          <w:shd w:val="clear" w:color="auto" w:fill="FFFFFF"/>
        </w:rPr>
        <w:t xml:space="preserve"> no</w:t>
      </w:r>
      <w:r w:rsidR="008D2DCA">
        <w:rPr>
          <w:rFonts w:ascii="Arial" w:hAnsi="Arial" w:cs="Arial"/>
          <w:sz w:val="24"/>
          <w:szCs w:val="24"/>
          <w:shd w:val="clear" w:color="auto" w:fill="FFFFFF"/>
        </w:rPr>
        <w:t xml:space="preserve"> respeta la autonomía de la Guardia Nacional</w:t>
      </w:r>
      <w:r w:rsidR="0056116F">
        <w:rPr>
          <w:rFonts w:ascii="Arial" w:hAnsi="Arial" w:cs="Arial"/>
          <w:sz w:val="24"/>
          <w:szCs w:val="24"/>
          <w:shd w:val="clear" w:color="auto" w:fill="FFFFFF"/>
        </w:rPr>
        <w:t>, ni su carácter civil</w:t>
      </w:r>
      <w:r w:rsidR="008D2DCA">
        <w:rPr>
          <w:rFonts w:ascii="Arial" w:hAnsi="Arial" w:cs="Arial"/>
          <w:sz w:val="24"/>
          <w:szCs w:val="24"/>
          <w:shd w:val="clear" w:color="auto" w:fill="FFFFFF"/>
        </w:rPr>
        <w:t xml:space="preserve">. </w:t>
      </w:r>
      <w:r w:rsidR="008D2DCA" w:rsidRPr="008D2DCA">
        <w:rPr>
          <w:rFonts w:ascii="Arial" w:hAnsi="Arial" w:cs="Arial"/>
          <w:sz w:val="24"/>
          <w:szCs w:val="24"/>
          <w:shd w:val="clear" w:color="auto" w:fill="FFFFFF"/>
        </w:rPr>
        <w:t xml:space="preserve"> </w:t>
      </w:r>
      <w:r w:rsidR="00C87E32">
        <w:rPr>
          <w:rFonts w:ascii="Arial" w:hAnsi="Arial" w:cs="Arial"/>
          <w:sz w:val="24"/>
          <w:szCs w:val="24"/>
          <w:shd w:val="clear" w:color="auto" w:fill="FFFFFF"/>
        </w:rPr>
        <w:t xml:space="preserve">Además, de que es contraria al Programa Sectorial de Seguridad y Protección Ciudadana 2020-2024 </w:t>
      </w:r>
      <w:hyperlink r:id="rId38" w:anchor="gsc.tab=0" w:history="1">
        <w:r w:rsidR="00C87E32" w:rsidRPr="0056116F">
          <w:rPr>
            <w:rStyle w:val="Hipervnculo"/>
            <w:rFonts w:ascii="Arial" w:hAnsi="Arial" w:cs="Arial"/>
            <w:szCs w:val="24"/>
            <w:shd w:val="clear" w:color="auto" w:fill="FFFFFF"/>
          </w:rPr>
          <w:t>https://dof.gob.mx/nota_detalle.php?codigo=5596028&amp;fecha=02/07/2020#gsc.tab=0</w:t>
        </w:r>
      </w:hyperlink>
      <w:r w:rsidR="003E23EC">
        <w:rPr>
          <w:rFonts w:ascii="Arial" w:hAnsi="Arial" w:cs="Arial"/>
          <w:sz w:val="24"/>
          <w:szCs w:val="24"/>
          <w:shd w:val="clear" w:color="auto" w:fill="FFFFFF"/>
        </w:rPr>
        <w:t xml:space="preserve">, en razón de que dicho programa contempla a la Guardia Nacional como una institución de carácter </w:t>
      </w:r>
      <w:r w:rsidR="0056116F">
        <w:rPr>
          <w:rFonts w:ascii="Arial" w:hAnsi="Arial" w:cs="Arial"/>
          <w:sz w:val="24"/>
          <w:szCs w:val="24"/>
          <w:shd w:val="clear" w:color="auto" w:fill="FFFFFF"/>
        </w:rPr>
        <w:t>civil</w:t>
      </w:r>
      <w:r w:rsidR="00701200">
        <w:rPr>
          <w:rFonts w:ascii="Arial" w:hAnsi="Arial" w:cs="Arial"/>
          <w:sz w:val="24"/>
          <w:szCs w:val="24"/>
          <w:shd w:val="clear" w:color="auto" w:fill="FFFFFF"/>
        </w:rPr>
        <w:t>. Aquí un fragmento de la Estrategia Nacional de Seguridad aludida</w:t>
      </w:r>
      <w:r w:rsidR="0056116F">
        <w:rPr>
          <w:rFonts w:ascii="Arial" w:hAnsi="Arial" w:cs="Arial"/>
          <w:sz w:val="24"/>
          <w:szCs w:val="24"/>
          <w:shd w:val="clear" w:color="auto" w:fill="FFFFFF"/>
        </w:rPr>
        <w:t>:</w:t>
      </w:r>
    </w:p>
    <w:p w14:paraId="40808143" w14:textId="10762D3E" w:rsidR="0056116F" w:rsidRPr="0056116F" w:rsidRDefault="0056116F" w:rsidP="0056116F">
      <w:pPr>
        <w:spacing w:before="240"/>
        <w:ind w:left="708" w:right="49"/>
        <w:jc w:val="both"/>
        <w:rPr>
          <w:rFonts w:ascii="Arial" w:hAnsi="Arial" w:cs="Arial"/>
          <w:i/>
          <w:sz w:val="28"/>
          <w:szCs w:val="24"/>
          <w:shd w:val="clear" w:color="auto" w:fill="FFFFFF"/>
        </w:rPr>
      </w:pPr>
      <w:r>
        <w:rPr>
          <w:rFonts w:ascii="Arial" w:hAnsi="Arial" w:cs="Arial"/>
          <w:i/>
          <w:color w:val="000000"/>
          <w:sz w:val="20"/>
          <w:szCs w:val="18"/>
          <w:shd w:val="clear" w:color="auto" w:fill="FFFFFF"/>
        </w:rPr>
        <w:t>“…</w:t>
      </w:r>
      <w:r w:rsidRPr="0056116F">
        <w:rPr>
          <w:rFonts w:ascii="Arial" w:hAnsi="Arial" w:cs="Arial"/>
          <w:i/>
          <w:color w:val="000000"/>
          <w:sz w:val="20"/>
          <w:szCs w:val="18"/>
          <w:shd w:val="clear" w:color="auto" w:fill="FFFFFF"/>
        </w:rPr>
        <w:t xml:space="preserve">Ahora tenemos la gran oportunidad de </w:t>
      </w:r>
      <w:r w:rsidRPr="00701200">
        <w:rPr>
          <w:rFonts w:ascii="Arial" w:hAnsi="Arial" w:cs="Arial"/>
          <w:i/>
          <w:color w:val="000000"/>
          <w:sz w:val="20"/>
          <w:szCs w:val="18"/>
          <w:u w:val="single"/>
          <w:shd w:val="clear" w:color="auto" w:fill="FFFFFF"/>
        </w:rPr>
        <w:t>retomar las fortalezas</w:t>
      </w:r>
      <w:r w:rsidRPr="0056116F">
        <w:rPr>
          <w:rFonts w:ascii="Arial" w:hAnsi="Arial" w:cs="Arial"/>
          <w:i/>
          <w:color w:val="000000"/>
          <w:sz w:val="20"/>
          <w:szCs w:val="18"/>
          <w:shd w:val="clear" w:color="auto" w:fill="FFFFFF"/>
        </w:rPr>
        <w:t xml:space="preserve"> de las instituciones militares como su disciplina, formación, servicio de carrera, espíritu de cuerpo, </w:t>
      </w:r>
      <w:r w:rsidRPr="00701200">
        <w:rPr>
          <w:rFonts w:ascii="Arial" w:hAnsi="Arial" w:cs="Arial"/>
          <w:i/>
          <w:color w:val="000000"/>
          <w:sz w:val="20"/>
          <w:szCs w:val="18"/>
          <w:u w:val="single"/>
          <w:shd w:val="clear" w:color="auto" w:fill="FFFFFF"/>
        </w:rPr>
        <w:t>para fortalecer la Guardia Nacional</w:t>
      </w:r>
      <w:r w:rsidRPr="0056116F">
        <w:rPr>
          <w:rFonts w:ascii="Arial" w:hAnsi="Arial" w:cs="Arial"/>
          <w:i/>
          <w:color w:val="000000"/>
          <w:sz w:val="20"/>
          <w:szCs w:val="18"/>
          <w:shd w:val="clear" w:color="auto" w:fill="FFFFFF"/>
        </w:rPr>
        <w:t xml:space="preserve">. Así mismo podremos aprovechar los recursos humanos, materiales e infraestructura </w:t>
      </w:r>
      <w:r w:rsidRPr="00701200">
        <w:rPr>
          <w:rFonts w:ascii="Arial" w:hAnsi="Arial" w:cs="Arial"/>
          <w:i/>
          <w:color w:val="000000"/>
          <w:sz w:val="20"/>
          <w:szCs w:val="18"/>
          <w:u w:val="single"/>
          <w:shd w:val="clear" w:color="auto" w:fill="FFFFFF"/>
        </w:rPr>
        <w:t>que pueden aportar las fuerzas armadas en favor de la seguridad del país</w:t>
      </w:r>
      <w:r w:rsidRPr="0056116F">
        <w:rPr>
          <w:rFonts w:ascii="Arial" w:hAnsi="Arial" w:cs="Arial"/>
          <w:i/>
          <w:color w:val="000000"/>
          <w:sz w:val="20"/>
          <w:szCs w:val="18"/>
          <w:shd w:val="clear" w:color="auto" w:fill="FFFFFF"/>
        </w:rPr>
        <w:t xml:space="preserve">, siempre conforme las condiciones, requisitos y restricciones que el constituyente permanente ha señalado en el contexto de la reforma constitucional. </w:t>
      </w:r>
      <w:r w:rsidRPr="00701200">
        <w:rPr>
          <w:rFonts w:ascii="Arial" w:hAnsi="Arial" w:cs="Arial"/>
          <w:b/>
          <w:i/>
          <w:color w:val="000000"/>
          <w:sz w:val="20"/>
          <w:szCs w:val="18"/>
          <w:u w:val="single"/>
          <w:shd w:val="clear" w:color="auto" w:fill="FFFFFF"/>
        </w:rPr>
        <w:t>Este esfuerzo debe ir encaminado bajo una doctrina policial de carácter civil</w:t>
      </w:r>
      <w:r w:rsidRPr="0056116F">
        <w:rPr>
          <w:rFonts w:ascii="Arial" w:hAnsi="Arial" w:cs="Arial"/>
          <w:i/>
          <w:color w:val="000000"/>
          <w:sz w:val="20"/>
          <w:szCs w:val="18"/>
          <w:shd w:val="clear" w:color="auto" w:fill="FFFFFF"/>
        </w:rPr>
        <w:t xml:space="preserve">, </w:t>
      </w:r>
      <w:r w:rsidRPr="00701200">
        <w:rPr>
          <w:rFonts w:ascii="Arial" w:hAnsi="Arial" w:cs="Arial"/>
          <w:i/>
          <w:color w:val="000000"/>
          <w:sz w:val="20"/>
          <w:szCs w:val="18"/>
          <w:u w:val="single"/>
          <w:shd w:val="clear" w:color="auto" w:fill="FFFFFF"/>
        </w:rPr>
        <w:t>y es el camino que debemos seguir con la finalidad de que la Guardia Nacional sea un símbolo de confianza entre los ciudadanos de nuestra gran nación</w:t>
      </w:r>
      <w:r>
        <w:rPr>
          <w:rFonts w:ascii="Arial" w:hAnsi="Arial" w:cs="Arial"/>
          <w:i/>
          <w:color w:val="000000"/>
          <w:sz w:val="20"/>
          <w:szCs w:val="18"/>
          <w:shd w:val="clear" w:color="auto" w:fill="FFFFFF"/>
        </w:rPr>
        <w:t>…”</w:t>
      </w:r>
    </w:p>
    <w:p w14:paraId="1B0BA414" w14:textId="361AD612" w:rsidR="0056116F" w:rsidRDefault="00701200" w:rsidP="00936E44">
      <w:pPr>
        <w:jc w:val="both"/>
        <w:rPr>
          <w:rFonts w:ascii="Arial" w:hAnsi="Arial" w:cs="Arial"/>
          <w:sz w:val="24"/>
        </w:rPr>
      </w:pPr>
      <w:r>
        <w:rPr>
          <w:rFonts w:ascii="Arial" w:hAnsi="Arial" w:cs="Arial"/>
          <w:sz w:val="24"/>
        </w:rPr>
        <w:t xml:space="preserve">Es decir, la idea que prescribe la Estrategia Nacional de Seguridad en cita, consiste en que </w:t>
      </w:r>
      <w:r w:rsidR="0056116F" w:rsidRPr="0056116F">
        <w:rPr>
          <w:rFonts w:ascii="Arial" w:hAnsi="Arial" w:cs="Arial"/>
          <w:sz w:val="24"/>
        </w:rPr>
        <w:t>los elementos de las fuerzas armadas</w:t>
      </w:r>
      <w:r>
        <w:rPr>
          <w:rFonts w:ascii="Arial" w:hAnsi="Arial" w:cs="Arial"/>
          <w:sz w:val="24"/>
        </w:rPr>
        <w:t xml:space="preserve"> </w:t>
      </w:r>
      <w:r w:rsidRPr="00701200">
        <w:rPr>
          <w:rFonts w:ascii="Arial" w:hAnsi="Arial" w:cs="Arial"/>
          <w:i/>
          <w:sz w:val="24"/>
        </w:rPr>
        <w:t>aporten</w:t>
      </w:r>
      <w:r>
        <w:rPr>
          <w:rFonts w:ascii="Arial" w:hAnsi="Arial" w:cs="Arial"/>
          <w:sz w:val="24"/>
        </w:rPr>
        <w:t xml:space="preserve">, </w:t>
      </w:r>
      <w:r w:rsidRPr="00701200">
        <w:rPr>
          <w:rFonts w:ascii="Arial" w:hAnsi="Arial" w:cs="Arial"/>
          <w:i/>
          <w:sz w:val="24"/>
        </w:rPr>
        <w:t>fortalezcan</w:t>
      </w:r>
      <w:r>
        <w:rPr>
          <w:rFonts w:ascii="Arial" w:hAnsi="Arial" w:cs="Arial"/>
          <w:sz w:val="24"/>
        </w:rPr>
        <w:t>,</w:t>
      </w:r>
      <w:r w:rsidR="0056116F" w:rsidRPr="0056116F">
        <w:rPr>
          <w:rFonts w:ascii="Arial" w:hAnsi="Arial" w:cs="Arial"/>
          <w:sz w:val="24"/>
        </w:rPr>
        <w:t xml:space="preserve"> </w:t>
      </w:r>
      <w:r w:rsidR="0056116F" w:rsidRPr="00701200">
        <w:rPr>
          <w:rFonts w:ascii="Arial" w:hAnsi="Arial" w:cs="Arial"/>
          <w:i/>
          <w:sz w:val="24"/>
        </w:rPr>
        <w:t>se incorporen</w:t>
      </w:r>
      <w:r w:rsidR="0056116F" w:rsidRPr="0056116F">
        <w:rPr>
          <w:rFonts w:ascii="Arial" w:hAnsi="Arial" w:cs="Arial"/>
          <w:sz w:val="24"/>
        </w:rPr>
        <w:t xml:space="preserve"> a la estructura de la Guardia Nacional, </w:t>
      </w:r>
      <w:r>
        <w:rPr>
          <w:rFonts w:ascii="Arial" w:hAnsi="Arial" w:cs="Arial"/>
          <w:sz w:val="24"/>
        </w:rPr>
        <w:t xml:space="preserve">y dejando de lado si dichas aportaciones son Constitucionales, la norma general reclamada está haciendo lo contrario a lo establecido en la Estrategia, porque no está sólo retomando de las Fuerzas Armadas lo que necesita para la Guardia Nacional, sino que está enviando a la Guardia Nacional para que el Ejército tome recursos humanos de esta, siendo que </w:t>
      </w:r>
      <w:r w:rsidR="0056116F" w:rsidRPr="0056116F">
        <w:rPr>
          <w:rFonts w:ascii="Arial" w:hAnsi="Arial" w:cs="Arial"/>
          <w:sz w:val="24"/>
        </w:rPr>
        <w:t>éstos</w:t>
      </w:r>
      <w:r>
        <w:rPr>
          <w:rFonts w:ascii="Arial" w:hAnsi="Arial" w:cs="Arial"/>
          <w:sz w:val="24"/>
        </w:rPr>
        <w:t xml:space="preserve"> y aquellos</w:t>
      </w:r>
      <w:r w:rsidR="0056116F" w:rsidRPr="0056116F">
        <w:rPr>
          <w:rFonts w:ascii="Arial" w:hAnsi="Arial" w:cs="Arial"/>
          <w:sz w:val="24"/>
        </w:rPr>
        <w:t xml:space="preserve"> deberán actuar en términos de los ordenamientos que regulan la seguridad pública y bajo el mando de la autoridad civil, por lo que su actuación </w:t>
      </w:r>
      <w:r>
        <w:rPr>
          <w:rFonts w:ascii="Arial" w:hAnsi="Arial" w:cs="Arial"/>
          <w:sz w:val="24"/>
        </w:rPr>
        <w:t>deberá estar</w:t>
      </w:r>
      <w:r w:rsidR="0056116F" w:rsidRPr="0056116F">
        <w:rPr>
          <w:rFonts w:ascii="Arial" w:hAnsi="Arial" w:cs="Arial"/>
          <w:sz w:val="24"/>
        </w:rPr>
        <w:t xml:space="preserve"> subordinada y complementaria en relación con una autoridad civil, cuya función primordial es garantizar la seguridad pública.</w:t>
      </w:r>
    </w:p>
    <w:p w14:paraId="513A60C2" w14:textId="1105F8B7" w:rsidR="002273A2" w:rsidRDefault="002273A2" w:rsidP="00327004">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 xml:space="preserve">Dichas contradicciones en la norma exponen a los aquí quejosos a conductas bélicas durante el ejercicio de las libertades de reunión, manifestación y expresión en las plazas públicas por parte de los elementos de la Guardia Nacional o del Ejército toda vez que en acatamiento a la SEDENA quien tiene el control operativo y administrativo puede ordenarles acciones que </w:t>
      </w:r>
      <w:r w:rsidR="00C8561E">
        <w:rPr>
          <w:rFonts w:ascii="Arial" w:hAnsi="Arial" w:cs="Arial"/>
          <w:sz w:val="24"/>
          <w:szCs w:val="24"/>
          <w:shd w:val="clear" w:color="auto" w:fill="FFFFFF"/>
        </w:rPr>
        <w:t xml:space="preserve">están diseñadas para la defensa de la nación y la guerra, </w:t>
      </w:r>
      <w:r>
        <w:rPr>
          <w:rFonts w:ascii="Arial" w:hAnsi="Arial" w:cs="Arial"/>
          <w:sz w:val="24"/>
          <w:szCs w:val="24"/>
          <w:shd w:val="clear" w:color="auto" w:fill="FFFFFF"/>
        </w:rPr>
        <w:t xml:space="preserve">atenten contra la vida, la libertad personal, generen tortura, incomunicación o desaparición. </w:t>
      </w:r>
    </w:p>
    <w:p w14:paraId="37375AF0" w14:textId="49D80E69" w:rsidR="004B7BCB" w:rsidRDefault="004B7BCB" w:rsidP="00327004">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El artículo 7 de la Ley de la Guardia Nacional permite que los integrantes de esta institución bajo su integración a la Se</w:t>
      </w:r>
      <w:r w:rsidR="009510C6">
        <w:rPr>
          <w:rFonts w:ascii="Arial" w:hAnsi="Arial" w:cs="Arial"/>
          <w:sz w:val="24"/>
          <w:szCs w:val="24"/>
          <w:shd w:val="clear" w:color="auto" w:fill="FFFFFF"/>
        </w:rPr>
        <w:t>cretaría de la Defensa Nacional aparentemente en coadyuvancia con las autoridades locales,</w:t>
      </w:r>
      <w:r w:rsidR="00C8561E">
        <w:rPr>
          <w:rFonts w:ascii="Arial" w:hAnsi="Arial" w:cs="Arial"/>
          <w:sz w:val="24"/>
          <w:szCs w:val="24"/>
          <w:shd w:val="clear" w:color="auto" w:fill="FFFFFF"/>
        </w:rPr>
        <w:t xml:space="preserve"> intervengan en labores de seguridad pública,</w:t>
      </w:r>
      <w:r w:rsidR="009510C6">
        <w:rPr>
          <w:rFonts w:ascii="Arial" w:hAnsi="Arial" w:cs="Arial"/>
          <w:sz w:val="24"/>
          <w:szCs w:val="24"/>
          <w:shd w:val="clear" w:color="auto" w:fill="FFFFFF"/>
        </w:rPr>
        <w:t xml:space="preserve"> sin embargo, no queda explicita </w:t>
      </w:r>
      <w:r w:rsidR="003445A4">
        <w:rPr>
          <w:rFonts w:ascii="Arial" w:hAnsi="Arial" w:cs="Arial"/>
          <w:sz w:val="24"/>
          <w:szCs w:val="24"/>
          <w:shd w:val="clear" w:color="auto" w:fill="FFFFFF"/>
        </w:rPr>
        <w:t>en la norma general reclamada</w:t>
      </w:r>
      <w:r w:rsidR="009510C6">
        <w:rPr>
          <w:rFonts w:ascii="Arial" w:hAnsi="Arial" w:cs="Arial"/>
          <w:sz w:val="24"/>
          <w:szCs w:val="24"/>
          <w:shd w:val="clear" w:color="auto" w:fill="FFFFFF"/>
        </w:rPr>
        <w:t xml:space="preserve"> en que consiste dicha </w:t>
      </w:r>
      <w:proofErr w:type="spellStart"/>
      <w:r w:rsidR="009510C6">
        <w:rPr>
          <w:rFonts w:ascii="Arial" w:hAnsi="Arial" w:cs="Arial"/>
          <w:sz w:val="24"/>
          <w:szCs w:val="24"/>
          <w:shd w:val="clear" w:color="auto" w:fill="FFFFFF"/>
        </w:rPr>
        <w:t>coadyuvancia</w:t>
      </w:r>
      <w:proofErr w:type="spellEnd"/>
      <w:r w:rsidR="009510C6">
        <w:rPr>
          <w:rFonts w:ascii="Arial" w:hAnsi="Arial" w:cs="Arial"/>
          <w:sz w:val="24"/>
          <w:szCs w:val="24"/>
          <w:shd w:val="clear" w:color="auto" w:fill="FFFFFF"/>
        </w:rPr>
        <w:t xml:space="preserve"> contraria a</w:t>
      </w:r>
      <w:r w:rsidR="00103023">
        <w:rPr>
          <w:rFonts w:ascii="Arial" w:hAnsi="Arial" w:cs="Arial"/>
          <w:sz w:val="24"/>
          <w:szCs w:val="24"/>
          <w:shd w:val="clear" w:color="auto" w:fill="FFFFFF"/>
        </w:rPr>
        <w:t>demás a</w:t>
      </w:r>
      <w:r w:rsidR="009510C6">
        <w:rPr>
          <w:rFonts w:ascii="Arial" w:hAnsi="Arial" w:cs="Arial"/>
          <w:sz w:val="24"/>
          <w:szCs w:val="24"/>
          <w:shd w:val="clear" w:color="auto" w:fill="FFFFFF"/>
        </w:rPr>
        <w:t xml:space="preserve"> la subordinación, </w:t>
      </w:r>
      <w:r w:rsidR="003445A4">
        <w:rPr>
          <w:rFonts w:ascii="Arial" w:hAnsi="Arial" w:cs="Arial"/>
          <w:sz w:val="24"/>
          <w:szCs w:val="24"/>
          <w:shd w:val="clear" w:color="auto" w:fill="FFFFFF"/>
        </w:rPr>
        <w:t xml:space="preserve">que quiere decir según el Diccionario de la Real Acadia Española sujeción a la orden, mando o dominio de alguien, </w:t>
      </w:r>
      <w:r w:rsidR="009510C6">
        <w:rPr>
          <w:rFonts w:ascii="Arial" w:hAnsi="Arial" w:cs="Arial"/>
          <w:sz w:val="24"/>
          <w:szCs w:val="24"/>
          <w:shd w:val="clear" w:color="auto" w:fill="FFFFFF"/>
        </w:rPr>
        <w:t xml:space="preserve">circunstancia que también se aleja del carácter civil que debe regir a la </w:t>
      </w:r>
      <w:r w:rsidR="00974699">
        <w:rPr>
          <w:rFonts w:ascii="Arial" w:hAnsi="Arial" w:cs="Arial"/>
          <w:sz w:val="24"/>
          <w:szCs w:val="24"/>
          <w:shd w:val="clear" w:color="auto" w:fill="FFFFFF"/>
        </w:rPr>
        <w:t>Guardia Nacional</w:t>
      </w:r>
      <w:r w:rsidR="009510C6">
        <w:rPr>
          <w:rFonts w:ascii="Arial" w:hAnsi="Arial" w:cs="Arial"/>
          <w:sz w:val="24"/>
          <w:szCs w:val="24"/>
          <w:shd w:val="clear" w:color="auto" w:fill="FFFFFF"/>
        </w:rPr>
        <w:t xml:space="preserve">. </w:t>
      </w:r>
    </w:p>
    <w:p w14:paraId="3A8FE24D" w14:textId="2D25E0BF" w:rsidR="009510C6" w:rsidRDefault="009510C6" w:rsidP="00327004">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El artículo 12, fracción I,</w:t>
      </w:r>
      <w:r w:rsidR="00013ECA">
        <w:rPr>
          <w:rFonts w:ascii="Arial" w:hAnsi="Arial" w:cs="Arial"/>
          <w:sz w:val="24"/>
          <w:szCs w:val="24"/>
          <w:shd w:val="clear" w:color="auto" w:fill="FFFFFF"/>
        </w:rPr>
        <w:t xml:space="preserve"> </w:t>
      </w:r>
      <w:r w:rsidR="005E5AE5">
        <w:rPr>
          <w:rFonts w:ascii="Arial" w:hAnsi="Arial" w:cs="Arial"/>
          <w:sz w:val="24"/>
          <w:szCs w:val="24"/>
          <w:shd w:val="clear" w:color="auto" w:fill="FFFFFF"/>
        </w:rPr>
        <w:t xml:space="preserve">de la Ley de la Guardia Nacional, </w:t>
      </w:r>
      <w:r w:rsidR="00013ECA">
        <w:rPr>
          <w:rFonts w:ascii="Arial" w:hAnsi="Arial" w:cs="Arial"/>
          <w:sz w:val="24"/>
          <w:szCs w:val="24"/>
          <w:shd w:val="clear" w:color="auto" w:fill="FFFFFF"/>
        </w:rPr>
        <w:t>de igual forma transgrede el arábigo 21 Constitucional toda vez que le da a la Secretaría de la Defensa Nacional el nivel de mando sobre los integrantes de la Guardia Nacional, siendo que dicha secretaría es de naturaleza militar encargada de las Fuerzas Armadas Permanentes</w:t>
      </w:r>
      <w:r w:rsidR="00D04576">
        <w:rPr>
          <w:rFonts w:ascii="Arial" w:hAnsi="Arial" w:cs="Arial"/>
          <w:sz w:val="24"/>
          <w:szCs w:val="24"/>
          <w:shd w:val="clear" w:color="auto" w:fill="FFFFFF"/>
        </w:rPr>
        <w:t xml:space="preserve">, alejándose nuevamente del carácter civil. </w:t>
      </w:r>
    </w:p>
    <w:p w14:paraId="106CA70F" w14:textId="0473C3F7" w:rsidR="00D04576" w:rsidRDefault="00D04576" w:rsidP="00327004">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 xml:space="preserve">Por su parte el artículo 13 Bis, </w:t>
      </w:r>
      <w:r w:rsidR="00794E6D">
        <w:rPr>
          <w:rFonts w:ascii="Arial" w:hAnsi="Arial" w:cs="Arial"/>
          <w:sz w:val="24"/>
          <w:szCs w:val="24"/>
          <w:shd w:val="clear" w:color="auto" w:fill="FFFFFF"/>
        </w:rPr>
        <w:t>I,</w:t>
      </w:r>
      <w:r w:rsidR="003445A4">
        <w:rPr>
          <w:rFonts w:ascii="Arial" w:hAnsi="Arial" w:cs="Arial"/>
          <w:sz w:val="24"/>
          <w:szCs w:val="24"/>
          <w:shd w:val="clear" w:color="auto" w:fill="FFFFFF"/>
        </w:rPr>
        <w:t xml:space="preserve"> III, V y VI,</w:t>
      </w:r>
      <w:r w:rsidR="005E5AE5">
        <w:rPr>
          <w:rFonts w:ascii="Arial" w:hAnsi="Arial" w:cs="Arial"/>
          <w:sz w:val="24"/>
          <w:szCs w:val="24"/>
          <w:shd w:val="clear" w:color="auto" w:fill="FFFFFF"/>
        </w:rPr>
        <w:t xml:space="preserve"> de la Ley de la Guardia Nacional</w:t>
      </w:r>
      <w:r w:rsidR="003445A4">
        <w:rPr>
          <w:rFonts w:ascii="Arial" w:hAnsi="Arial" w:cs="Arial"/>
          <w:sz w:val="24"/>
          <w:szCs w:val="24"/>
          <w:shd w:val="clear" w:color="auto" w:fill="FFFFFF"/>
        </w:rPr>
        <w:t xml:space="preserve"> transgrede</w:t>
      </w:r>
      <w:r w:rsidR="00794E6D">
        <w:rPr>
          <w:rFonts w:ascii="Arial" w:hAnsi="Arial" w:cs="Arial"/>
          <w:sz w:val="24"/>
          <w:szCs w:val="24"/>
          <w:shd w:val="clear" w:color="auto" w:fill="FFFFFF"/>
        </w:rPr>
        <w:t xml:space="preserve"> </w:t>
      </w:r>
      <w:r w:rsidR="003445A4">
        <w:rPr>
          <w:rFonts w:ascii="Arial" w:hAnsi="Arial" w:cs="Arial"/>
          <w:sz w:val="24"/>
          <w:szCs w:val="24"/>
          <w:shd w:val="clear" w:color="auto" w:fill="FFFFFF"/>
        </w:rPr>
        <w:t xml:space="preserve">absolutamente </w:t>
      </w:r>
      <w:r w:rsidR="00794E6D">
        <w:rPr>
          <w:rFonts w:ascii="Arial" w:hAnsi="Arial" w:cs="Arial"/>
          <w:sz w:val="24"/>
          <w:szCs w:val="24"/>
          <w:shd w:val="clear" w:color="auto" w:fill="FFFFFF"/>
        </w:rPr>
        <w:t>el numeral 21 Constitucional</w:t>
      </w:r>
      <w:r w:rsidR="003445A4">
        <w:rPr>
          <w:rFonts w:ascii="Arial" w:hAnsi="Arial" w:cs="Arial"/>
          <w:sz w:val="24"/>
          <w:szCs w:val="24"/>
          <w:shd w:val="clear" w:color="auto" w:fill="FFFFFF"/>
        </w:rPr>
        <w:t>,</w:t>
      </w:r>
      <w:r w:rsidR="00794E6D">
        <w:rPr>
          <w:rFonts w:ascii="Arial" w:hAnsi="Arial" w:cs="Arial"/>
          <w:sz w:val="24"/>
          <w:szCs w:val="24"/>
          <w:shd w:val="clear" w:color="auto" w:fill="FFFFFF"/>
        </w:rPr>
        <w:t xml:space="preserve"> </w:t>
      </w:r>
      <w:r w:rsidR="003445A4">
        <w:rPr>
          <w:rFonts w:ascii="Arial" w:hAnsi="Arial" w:cs="Arial"/>
          <w:sz w:val="24"/>
          <w:szCs w:val="24"/>
          <w:shd w:val="clear" w:color="auto" w:fill="FFFFFF"/>
        </w:rPr>
        <w:t xml:space="preserve">porque permite que la Secretaría de la Defensa Nacional ejerza el control operativo y administrativo de la Guardia Nacional y que cuando el titular del Ejecutivo Federal disponga de su intervención para el auxilio de la Fuerza Armada Permanente en el ejercicio de sus misiones. Y cuando algo está sujeto a la estructura de una secretaría encargada de la defensa nacional difícilmente mantendrá un carácter civil alejado de lo militar, máxime que el presidente sólo puede </w:t>
      </w:r>
      <w:r w:rsidR="003445A4">
        <w:rPr>
          <w:rFonts w:ascii="Arial" w:hAnsi="Arial" w:cs="Arial"/>
          <w:sz w:val="24"/>
          <w:szCs w:val="24"/>
          <w:shd w:val="clear" w:color="auto" w:fill="FFFFFF"/>
        </w:rPr>
        <w:lastRenderedPageBreak/>
        <w:t xml:space="preserve">usar al Ejército de manera extraordinaria, subordinada, fiscalizada, de conformidad con los parámetros que se expondrán más adelante. Además la norma reclamada le permite expedir al Secretario de la Defensa Nacional (SEDENA) los manuales de organización, procedimientos y de servicio al público de la Guardia Nacional, es decir, le va a decir cómo actuar hacia nosotros, siendo que como se explicó al principio de este concepto de violación la naturaleza de la defensa nacional o institución castrense es bélica, lo cual quieren que imite al menos como copia íntegra la Guardia Nacional, y bien sabemos que en la realidad como el último hecho narrado en los antecedentes los elementos de la Guardia Nacional disparan incluso </w:t>
      </w:r>
      <w:r w:rsidR="00B10837">
        <w:rPr>
          <w:rFonts w:ascii="Arial" w:hAnsi="Arial" w:cs="Arial"/>
          <w:sz w:val="24"/>
          <w:szCs w:val="24"/>
          <w:shd w:val="clear" w:color="auto" w:fill="FFFFFF"/>
        </w:rPr>
        <w:t xml:space="preserve">bajo el mando de la SEDENA </w:t>
      </w:r>
      <w:r w:rsidR="003445A4">
        <w:rPr>
          <w:rFonts w:ascii="Arial" w:hAnsi="Arial" w:cs="Arial"/>
          <w:sz w:val="24"/>
          <w:szCs w:val="24"/>
          <w:shd w:val="clear" w:color="auto" w:fill="FFFFFF"/>
        </w:rPr>
        <w:t>a manifestantes en ejercicio de su derecho de libertad de reunión, circunstancias que lo hacen inconstitucional, además la norma reclamada especificada en este párrafo permite que la SEDENA</w:t>
      </w:r>
      <w:r w:rsidR="00BD16BC">
        <w:rPr>
          <w:rFonts w:ascii="Arial" w:hAnsi="Arial" w:cs="Arial"/>
          <w:sz w:val="24"/>
          <w:szCs w:val="24"/>
          <w:shd w:val="clear" w:color="auto" w:fill="FFFFFF"/>
        </w:rPr>
        <w:t xml:space="preserve"> elabore los programas y estrategias de la Guardia Nacional para capacitar a los elementos de la Guardia Nacional lo cual es absurdo e inconstitucional, toda vez que para capacitar a alguien no es necesario que los alumnos se sometan al fuero militar, sino que la SEDENA podría capacitar en ciertos aspectos a la Guardia Nacional sin necesidad de que pierda su carácter civil tal como lo está</w:t>
      </w:r>
      <w:r w:rsidR="00DE2AA1">
        <w:rPr>
          <w:rFonts w:ascii="Arial" w:hAnsi="Arial" w:cs="Arial"/>
          <w:sz w:val="24"/>
          <w:szCs w:val="24"/>
          <w:shd w:val="clear" w:color="auto" w:fill="FFFFFF"/>
        </w:rPr>
        <w:t xml:space="preserve"> deformando la norma reclamada. Asimismo es inconstitucional porque propone organizar la distribución territorial de la Guardia Nacional y adecuaciones a su estructura orgánica, permitiendo una adecuada militarización del país en todo el territorio influyendo directamente en la estructura interna de la institución que debería ser civil pero ahora en el corazón </w:t>
      </w:r>
      <w:r w:rsidR="00BF45E9">
        <w:rPr>
          <w:rFonts w:ascii="Arial" w:hAnsi="Arial" w:cs="Arial"/>
          <w:sz w:val="24"/>
          <w:szCs w:val="24"/>
          <w:shd w:val="clear" w:color="auto" w:fill="FFFFFF"/>
        </w:rPr>
        <w:t>la norma general reclamada lo está deformando a</w:t>
      </w:r>
      <w:r w:rsidR="00DE2AA1">
        <w:rPr>
          <w:rFonts w:ascii="Arial" w:hAnsi="Arial" w:cs="Arial"/>
          <w:sz w:val="24"/>
          <w:szCs w:val="24"/>
          <w:shd w:val="clear" w:color="auto" w:fill="FFFFFF"/>
        </w:rPr>
        <w:t xml:space="preserve"> militar. </w:t>
      </w:r>
      <w:r w:rsidR="00B10837">
        <w:rPr>
          <w:rFonts w:ascii="Arial" w:hAnsi="Arial" w:cs="Arial"/>
          <w:sz w:val="24"/>
          <w:szCs w:val="24"/>
          <w:shd w:val="clear" w:color="auto" w:fill="FFFFFF"/>
        </w:rPr>
        <w:t xml:space="preserve">Es inconstitucional porque el último párrafo del artículo 21 Constitucional establece que </w:t>
      </w:r>
      <w:r w:rsidR="00B10837">
        <w:rPr>
          <w:rFonts w:ascii="Arial" w:hAnsi="Arial" w:cs="Arial"/>
          <w:b/>
          <w:i/>
          <w:u w:val="single"/>
        </w:rPr>
        <w:t>la</w:t>
      </w:r>
      <w:r w:rsidR="00B10837" w:rsidRPr="00E321AC">
        <w:rPr>
          <w:rFonts w:ascii="Arial" w:hAnsi="Arial" w:cs="Arial"/>
          <w:b/>
          <w:i/>
          <w:u w:val="single"/>
        </w:rPr>
        <w:t xml:space="preserve"> estructura orgánica y de dirección de la Guardia Nacional, </w:t>
      </w:r>
      <w:r w:rsidR="00B10837">
        <w:rPr>
          <w:rFonts w:ascii="Arial" w:hAnsi="Arial" w:cs="Arial"/>
          <w:b/>
          <w:i/>
          <w:u w:val="single"/>
        </w:rPr>
        <w:t>según la Constitución Federal deberá estar</w:t>
      </w:r>
      <w:r w:rsidR="00B10837" w:rsidRPr="00E321AC">
        <w:rPr>
          <w:rFonts w:ascii="Arial" w:hAnsi="Arial" w:cs="Arial"/>
          <w:b/>
          <w:i/>
          <w:u w:val="single"/>
        </w:rPr>
        <w:t xml:space="preserve"> adscrita a la secretaría del ramo de seguridad pública</w:t>
      </w:r>
      <w:r w:rsidR="00B10837">
        <w:rPr>
          <w:rFonts w:ascii="Arial" w:hAnsi="Arial" w:cs="Arial"/>
          <w:b/>
          <w:i/>
          <w:u w:val="single"/>
        </w:rPr>
        <w:t>, es decir a la Secretaría de Seguridad y Protección Ciudadana, y no a la Secretaría de la  Defensa Nacional.</w:t>
      </w:r>
    </w:p>
    <w:p w14:paraId="48771950" w14:textId="75D04826" w:rsidR="00BF45E9" w:rsidRPr="00290CCF" w:rsidRDefault="00BF45E9" w:rsidP="00327004">
      <w:pPr>
        <w:spacing w:before="240"/>
        <w:ind w:right="49"/>
        <w:jc w:val="both"/>
        <w:rPr>
          <w:rFonts w:ascii="Arial" w:hAnsi="Arial" w:cs="Arial"/>
          <w:sz w:val="28"/>
          <w:szCs w:val="24"/>
          <w:shd w:val="clear" w:color="auto" w:fill="FFFFFF"/>
        </w:rPr>
      </w:pPr>
      <w:r>
        <w:rPr>
          <w:rFonts w:ascii="Arial" w:hAnsi="Arial" w:cs="Arial"/>
          <w:sz w:val="24"/>
          <w:szCs w:val="24"/>
          <w:shd w:val="clear" w:color="auto" w:fill="FFFFFF"/>
        </w:rPr>
        <w:t xml:space="preserve">Por su parte, el artículo 14 </w:t>
      </w:r>
      <w:r w:rsidR="005E5AE5">
        <w:rPr>
          <w:rFonts w:ascii="Arial" w:hAnsi="Arial" w:cs="Arial"/>
          <w:sz w:val="24"/>
          <w:szCs w:val="24"/>
          <w:shd w:val="clear" w:color="auto" w:fill="FFFFFF"/>
        </w:rPr>
        <w:t xml:space="preserve">de la Ley de la Guardia Nacional </w:t>
      </w:r>
      <w:r>
        <w:rPr>
          <w:rFonts w:ascii="Arial" w:hAnsi="Arial" w:cs="Arial"/>
          <w:sz w:val="24"/>
          <w:szCs w:val="24"/>
          <w:shd w:val="clear" w:color="auto" w:fill="FFFFFF"/>
        </w:rPr>
        <w:t>también es inconstitucional porque faculta a que a propuesta del Secretario de la Defensa se nombre al Comandante de la Guardia Nacio</w:t>
      </w:r>
      <w:r w:rsidR="00290CCF">
        <w:rPr>
          <w:rFonts w:ascii="Arial" w:hAnsi="Arial" w:cs="Arial"/>
          <w:sz w:val="24"/>
          <w:szCs w:val="24"/>
          <w:shd w:val="clear" w:color="auto" w:fill="FFFFFF"/>
        </w:rPr>
        <w:t>nal, influyendo por tanto en su desempeño porque fue nombrado por un militar y alejando su desempeño del carácter civil establecido en el numeral 21 multicitado. Máxime que también dicha porción normativa es contraria al artículo 76, fracción II</w:t>
      </w:r>
      <w:r w:rsidR="00290CCF">
        <w:rPr>
          <w:rStyle w:val="Refdenotaalpie"/>
          <w:rFonts w:ascii="Arial" w:hAnsi="Arial" w:cs="Arial"/>
          <w:sz w:val="24"/>
          <w:szCs w:val="24"/>
          <w:shd w:val="clear" w:color="auto" w:fill="FFFFFF"/>
        </w:rPr>
        <w:footnoteReference w:id="42"/>
      </w:r>
      <w:r w:rsidR="00290CCF">
        <w:rPr>
          <w:rFonts w:ascii="Arial" w:hAnsi="Arial" w:cs="Arial"/>
          <w:sz w:val="24"/>
          <w:szCs w:val="24"/>
          <w:shd w:val="clear" w:color="auto" w:fill="FFFFFF"/>
        </w:rPr>
        <w:t>, de la Constitución General de la República, porque no considera en la norma reclamada la ratificación que debe hacer el Senado de este Comandante de la Guardia Nacional, como facultad exclusiva del Senado, porque dicho cargo implícitamente ya es equivalente en grado a los</w:t>
      </w:r>
      <w:r w:rsidR="00290CCF" w:rsidRPr="00290CCF">
        <w:rPr>
          <w:rFonts w:ascii="Arial" w:hAnsi="Arial" w:cs="Arial"/>
          <w:sz w:val="24"/>
        </w:rPr>
        <w:t xml:space="preserve"> demás jefes superiores del Ejército, Armada y Fuerza Aérea Nacionales</w:t>
      </w:r>
      <w:r w:rsidR="005E5AE5">
        <w:rPr>
          <w:rFonts w:ascii="Arial" w:hAnsi="Arial" w:cs="Arial"/>
          <w:sz w:val="24"/>
        </w:rPr>
        <w:t>, de conformidad con el artículo 32 BIS de la Ley de la Guardia Nacional también impugnado.</w:t>
      </w:r>
    </w:p>
    <w:p w14:paraId="3B3E1B84" w14:textId="5580C389" w:rsidR="00290CCF" w:rsidRDefault="00290CCF" w:rsidP="00327004">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 xml:space="preserve">De igual forma, son contrarios al arábigo 21 Constitucional los artículos 15, fracción II, VII y VIII, VIII Bis, </w:t>
      </w:r>
      <w:r w:rsidR="005E5AE5">
        <w:rPr>
          <w:rFonts w:ascii="Arial" w:hAnsi="Arial" w:cs="Arial"/>
          <w:sz w:val="24"/>
          <w:szCs w:val="24"/>
          <w:shd w:val="clear" w:color="auto" w:fill="FFFFFF"/>
        </w:rPr>
        <w:t xml:space="preserve">de la Ley de la Guardia Nacional, </w:t>
      </w:r>
      <w:r>
        <w:rPr>
          <w:rFonts w:ascii="Arial" w:hAnsi="Arial" w:cs="Arial"/>
          <w:sz w:val="24"/>
          <w:szCs w:val="24"/>
          <w:shd w:val="clear" w:color="auto" w:fill="FFFFFF"/>
        </w:rPr>
        <w:t>toda vez que le otorga las facultades de dirigir</w:t>
      </w:r>
      <w:r w:rsidR="005E5AE5">
        <w:rPr>
          <w:rFonts w:ascii="Arial" w:hAnsi="Arial" w:cs="Arial"/>
          <w:sz w:val="24"/>
          <w:szCs w:val="24"/>
          <w:shd w:val="clear" w:color="auto" w:fill="FFFFFF"/>
        </w:rPr>
        <w:t xml:space="preserve"> a</w:t>
      </w:r>
      <w:r>
        <w:rPr>
          <w:rFonts w:ascii="Arial" w:hAnsi="Arial" w:cs="Arial"/>
          <w:sz w:val="24"/>
          <w:szCs w:val="24"/>
          <w:shd w:val="clear" w:color="auto" w:fill="FFFFFF"/>
        </w:rPr>
        <w:t xml:space="preserve"> la Guardia Nacional,</w:t>
      </w:r>
      <w:r w:rsidR="005E5AE5">
        <w:rPr>
          <w:rFonts w:ascii="Arial" w:hAnsi="Arial" w:cs="Arial"/>
          <w:sz w:val="24"/>
          <w:szCs w:val="24"/>
          <w:shd w:val="clear" w:color="auto" w:fill="FFFFFF"/>
        </w:rPr>
        <w:t xml:space="preserve"> e influir en su funcionamiento, pero </w:t>
      </w:r>
      <w:r>
        <w:rPr>
          <w:rFonts w:ascii="Arial" w:hAnsi="Arial" w:cs="Arial"/>
          <w:sz w:val="24"/>
          <w:szCs w:val="24"/>
          <w:shd w:val="clear" w:color="auto" w:fill="FFFFFF"/>
        </w:rPr>
        <w:t>estará influido militarmente de quien lo propuso que es el Secretario de la Defensa Nacional</w:t>
      </w:r>
      <w:r w:rsidR="005E5AE5">
        <w:rPr>
          <w:rFonts w:ascii="Arial" w:hAnsi="Arial" w:cs="Arial"/>
          <w:sz w:val="24"/>
          <w:szCs w:val="24"/>
          <w:shd w:val="clear" w:color="auto" w:fill="FFFFFF"/>
        </w:rPr>
        <w:t>.</w:t>
      </w:r>
    </w:p>
    <w:p w14:paraId="084727D1" w14:textId="34FA7530" w:rsidR="005E5AE5" w:rsidRDefault="005E5AE5" w:rsidP="00327004">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Por su parte, el artículo 32 Bis, de la Ley de la Guardia Nacional</w:t>
      </w:r>
      <w:r w:rsidR="001A2748">
        <w:rPr>
          <w:rFonts w:ascii="Arial" w:hAnsi="Arial" w:cs="Arial"/>
          <w:sz w:val="24"/>
          <w:szCs w:val="24"/>
          <w:shd w:val="clear" w:color="auto" w:fill="FFFFFF"/>
        </w:rPr>
        <w:t xml:space="preserve"> y el Segundo Transitorio reclamado</w:t>
      </w:r>
      <w:r>
        <w:rPr>
          <w:rFonts w:ascii="Arial" w:hAnsi="Arial" w:cs="Arial"/>
          <w:sz w:val="24"/>
          <w:szCs w:val="24"/>
          <w:shd w:val="clear" w:color="auto" w:fill="FFFFFF"/>
        </w:rPr>
        <w:t xml:space="preserve">, es el que evidencia rotundamente la modificación de la estructura de la Guardia Nacional y su sometimiento a la SEDENA, al establecer su similitud con la Fuerza Armada en su desempeño además de que establece la aprobación legal para que el Ejército colabore en tareas de seguridad pública eternamente hasta que se derogue dicho artículo si es que un día se deroga, siendo </w:t>
      </w:r>
      <w:r>
        <w:rPr>
          <w:rFonts w:ascii="Arial" w:hAnsi="Arial" w:cs="Arial"/>
          <w:sz w:val="24"/>
          <w:szCs w:val="24"/>
          <w:shd w:val="clear" w:color="auto" w:fill="FFFFFF"/>
        </w:rPr>
        <w:lastRenderedPageBreak/>
        <w:t xml:space="preserve">contrario a lo excepcional y extraordinario, según lo establece la jurisprudencia mexicana e interamericana. </w:t>
      </w:r>
    </w:p>
    <w:p w14:paraId="69CB5650" w14:textId="22C7BAE7" w:rsidR="001E08AB" w:rsidRDefault="005E5AE5" w:rsidP="00327004">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 xml:space="preserve">El artículo </w:t>
      </w:r>
      <w:r w:rsidR="001E08AB">
        <w:rPr>
          <w:rFonts w:ascii="Arial" w:hAnsi="Arial" w:cs="Arial"/>
          <w:sz w:val="24"/>
          <w:szCs w:val="24"/>
          <w:shd w:val="clear" w:color="auto" w:fill="FFFFFF"/>
        </w:rPr>
        <w:t>39 de la Ley de la Guardia Nacional, es contrario al artículo 21 de la Constitución porque le da el poder al Secretario de la Defensa Nacional de influir en la educación de la Guardia Nacional siendo que podría capacitarla sin deformar su naturaleza civil.</w:t>
      </w:r>
    </w:p>
    <w:p w14:paraId="5F18657E" w14:textId="492CB983" w:rsidR="00BF51B2" w:rsidRDefault="00B10837" w:rsidP="00327004">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L</w:t>
      </w:r>
      <w:r w:rsidR="001E0E13">
        <w:rPr>
          <w:rFonts w:ascii="Arial" w:hAnsi="Arial" w:cs="Arial"/>
          <w:sz w:val="24"/>
          <w:szCs w:val="24"/>
          <w:shd w:val="clear" w:color="auto" w:fill="FFFFFF"/>
        </w:rPr>
        <w:t>os a</w:t>
      </w:r>
      <w:r w:rsidR="00BF51B2">
        <w:rPr>
          <w:rFonts w:ascii="Arial" w:hAnsi="Arial" w:cs="Arial"/>
          <w:sz w:val="24"/>
          <w:szCs w:val="24"/>
          <w:shd w:val="clear" w:color="auto" w:fill="FFFFFF"/>
        </w:rPr>
        <w:t>rtículo</w:t>
      </w:r>
      <w:r w:rsidR="001E0E13">
        <w:rPr>
          <w:rFonts w:ascii="Arial" w:hAnsi="Arial" w:cs="Arial"/>
          <w:sz w:val="24"/>
          <w:szCs w:val="24"/>
          <w:shd w:val="clear" w:color="auto" w:fill="FFFFFF"/>
        </w:rPr>
        <w:t>s</w:t>
      </w:r>
      <w:r w:rsidR="00BF51B2">
        <w:rPr>
          <w:rFonts w:ascii="Arial" w:hAnsi="Arial" w:cs="Arial"/>
          <w:sz w:val="24"/>
          <w:szCs w:val="24"/>
          <w:shd w:val="clear" w:color="auto" w:fill="FFFFFF"/>
        </w:rPr>
        <w:t xml:space="preserve"> 2/o Bis, 138, fracción VII</w:t>
      </w:r>
      <w:r w:rsidR="006A5D97">
        <w:rPr>
          <w:rFonts w:ascii="Arial" w:hAnsi="Arial" w:cs="Arial"/>
          <w:sz w:val="24"/>
          <w:szCs w:val="24"/>
          <w:shd w:val="clear" w:color="auto" w:fill="FFFFFF"/>
        </w:rPr>
        <w:t>, de la Ley Orgánica del Ej</w:t>
      </w:r>
      <w:r>
        <w:rPr>
          <w:rFonts w:ascii="Arial" w:hAnsi="Arial" w:cs="Arial"/>
          <w:sz w:val="24"/>
          <w:szCs w:val="24"/>
          <w:shd w:val="clear" w:color="auto" w:fill="FFFFFF"/>
        </w:rPr>
        <w:t>ército y Fuerza Aérea Mexicanos, también al igual que los otros artículos afecta a la parte quejosa y son contrarios al artículo 21 Constitucional, porque disimuladamente permite que los militares participen en la seguridad pública sin precisar cuándo ni cómo lo que genera incertidumbre jurídica hacia los ciudadano, además de que no es excepcional ni extraordinario.</w:t>
      </w:r>
    </w:p>
    <w:p w14:paraId="5EE95D4F" w14:textId="621D13DC" w:rsidR="00C15300" w:rsidRDefault="006C3FF3" w:rsidP="00C15300">
      <w:pPr>
        <w:spacing w:before="240"/>
        <w:ind w:right="49"/>
        <w:jc w:val="both"/>
        <w:rPr>
          <w:rFonts w:ascii="Arial" w:hAnsi="Arial" w:cs="Arial"/>
          <w:b/>
          <w:sz w:val="24"/>
          <w:szCs w:val="24"/>
        </w:rPr>
      </w:pPr>
      <w:r w:rsidRPr="006C3FF3">
        <w:rPr>
          <w:rFonts w:ascii="Arial" w:hAnsi="Arial" w:cs="Arial"/>
          <w:b/>
        </w:rPr>
        <w:t>SEGUNDO</w:t>
      </w:r>
      <w:r w:rsidR="00C15300">
        <w:rPr>
          <w:rFonts w:ascii="Arial" w:hAnsi="Arial" w:cs="Arial"/>
          <w:b/>
        </w:rPr>
        <w:t>.</w:t>
      </w:r>
      <w:r w:rsidR="00C15300" w:rsidRPr="00F37259">
        <w:rPr>
          <w:rFonts w:ascii="Arial" w:hAnsi="Arial" w:cs="Arial"/>
          <w:b/>
          <w:bCs/>
          <w:sz w:val="24"/>
          <w:szCs w:val="24"/>
        </w:rPr>
        <w:t xml:space="preserve"> </w:t>
      </w:r>
      <w:r w:rsidR="00C15300">
        <w:rPr>
          <w:rFonts w:ascii="Arial" w:hAnsi="Arial" w:cs="Arial"/>
          <w:b/>
          <w:bCs/>
          <w:sz w:val="24"/>
          <w:szCs w:val="24"/>
        </w:rPr>
        <w:t>En c</w:t>
      </w:r>
      <w:r w:rsidR="005C74C4">
        <w:rPr>
          <w:rFonts w:ascii="Arial" w:hAnsi="Arial" w:cs="Arial"/>
          <w:b/>
          <w:bCs/>
          <w:sz w:val="24"/>
          <w:szCs w:val="24"/>
        </w:rPr>
        <w:t xml:space="preserve">uanto a la </w:t>
      </w:r>
      <w:r w:rsidR="004C1D63">
        <w:rPr>
          <w:rFonts w:ascii="Arial" w:hAnsi="Arial" w:cs="Arial"/>
          <w:b/>
          <w:bCs/>
          <w:sz w:val="24"/>
          <w:szCs w:val="24"/>
        </w:rPr>
        <w:t xml:space="preserve">adscripción de la Guardia Nacional a la </w:t>
      </w:r>
      <w:r w:rsidR="005C74C4">
        <w:rPr>
          <w:rFonts w:ascii="Arial" w:hAnsi="Arial" w:cs="Arial"/>
          <w:b/>
          <w:bCs/>
          <w:sz w:val="24"/>
          <w:szCs w:val="24"/>
        </w:rPr>
        <w:t>Secretaría de Seguridad que</w:t>
      </w:r>
      <w:r w:rsidR="00C15300">
        <w:rPr>
          <w:rFonts w:ascii="Arial" w:hAnsi="Arial" w:cs="Arial"/>
          <w:b/>
          <w:bCs/>
          <w:sz w:val="24"/>
          <w:szCs w:val="24"/>
        </w:rPr>
        <w:t xml:space="preserve"> ordena la Constitución. </w:t>
      </w:r>
      <w:r w:rsidR="00C15300" w:rsidRPr="00E321AC">
        <w:rPr>
          <w:rFonts w:ascii="Arial" w:hAnsi="Arial" w:cs="Arial"/>
          <w:bCs/>
          <w:sz w:val="24"/>
          <w:szCs w:val="24"/>
        </w:rPr>
        <w:t xml:space="preserve">Las normas generales reclamadas transgreden en nuestro perjuicio el artículo </w:t>
      </w:r>
      <w:r w:rsidR="00C15300" w:rsidRPr="00E321AC">
        <w:rPr>
          <w:rFonts w:ascii="Arial" w:hAnsi="Arial" w:cs="Arial"/>
          <w:b/>
          <w:sz w:val="24"/>
          <w:szCs w:val="24"/>
        </w:rPr>
        <w:t>21</w:t>
      </w:r>
      <w:r w:rsidR="00C15300">
        <w:rPr>
          <w:rFonts w:ascii="Arial" w:hAnsi="Arial" w:cs="Arial"/>
          <w:sz w:val="24"/>
          <w:szCs w:val="24"/>
        </w:rPr>
        <w:t xml:space="preserve"> </w:t>
      </w:r>
      <w:r w:rsidR="00C15300" w:rsidRPr="00E321AC">
        <w:rPr>
          <w:rFonts w:ascii="Arial" w:hAnsi="Arial" w:cs="Arial"/>
          <w:sz w:val="24"/>
          <w:szCs w:val="24"/>
        </w:rPr>
        <w:t xml:space="preserve">de la Constitución Política </w:t>
      </w:r>
      <w:r w:rsidR="00C15300">
        <w:rPr>
          <w:rFonts w:ascii="Arial" w:hAnsi="Arial" w:cs="Arial"/>
          <w:sz w:val="24"/>
          <w:szCs w:val="24"/>
        </w:rPr>
        <w:t>de los Estados Unidos Mexicanos, en especial el párrafo décimo séptimo:</w:t>
      </w:r>
    </w:p>
    <w:p w14:paraId="225F5630" w14:textId="79B45523" w:rsidR="00C15300" w:rsidRDefault="00C15300" w:rsidP="00C15300">
      <w:pPr>
        <w:spacing w:before="240"/>
        <w:ind w:left="708" w:right="49"/>
        <w:jc w:val="both"/>
        <w:rPr>
          <w:rFonts w:ascii="Arial" w:hAnsi="Arial" w:cs="Arial"/>
          <w:i/>
        </w:rPr>
      </w:pPr>
      <w:r w:rsidRPr="006C3FF3">
        <w:rPr>
          <w:rFonts w:ascii="Arial" w:hAnsi="Arial" w:cs="Arial"/>
          <w:i/>
        </w:rPr>
        <w:t xml:space="preserve"> </w:t>
      </w:r>
      <w:r w:rsidRPr="006C3FF3">
        <w:rPr>
          <w:rFonts w:ascii="Arial" w:hAnsi="Arial" w:cs="Arial"/>
          <w:b/>
          <w:i/>
        </w:rPr>
        <w:t>Artículo 21</w:t>
      </w:r>
      <w:r w:rsidRPr="006C3FF3">
        <w:rPr>
          <w:rFonts w:ascii="Arial" w:hAnsi="Arial" w:cs="Arial"/>
          <w:i/>
        </w:rPr>
        <w:t>.</w:t>
      </w:r>
      <w:r>
        <w:rPr>
          <w:rFonts w:ascii="Arial" w:hAnsi="Arial" w:cs="Arial"/>
          <w:i/>
        </w:rPr>
        <w:t xml:space="preserve"> </w:t>
      </w:r>
    </w:p>
    <w:p w14:paraId="674D316F" w14:textId="77777777" w:rsidR="00C15300" w:rsidRDefault="00C15300" w:rsidP="00C15300">
      <w:pPr>
        <w:spacing w:before="240"/>
        <w:ind w:left="708" w:right="49"/>
        <w:jc w:val="both"/>
        <w:rPr>
          <w:rFonts w:ascii="Arial" w:hAnsi="Arial" w:cs="Arial"/>
          <w:i/>
        </w:rPr>
      </w:pPr>
      <w:r>
        <w:rPr>
          <w:rFonts w:ascii="Arial" w:hAnsi="Arial" w:cs="Arial"/>
          <w:i/>
        </w:rPr>
        <w:t xml:space="preserve">[…] </w:t>
      </w:r>
    </w:p>
    <w:p w14:paraId="39AD9497" w14:textId="444A309D" w:rsidR="00C15300" w:rsidRPr="00E321AC" w:rsidRDefault="00C15300" w:rsidP="00C15300">
      <w:pPr>
        <w:spacing w:before="240"/>
        <w:ind w:left="708" w:right="49"/>
        <w:jc w:val="both"/>
        <w:rPr>
          <w:rFonts w:ascii="Arial" w:hAnsi="Arial" w:cs="Arial"/>
          <w:i/>
        </w:rPr>
      </w:pPr>
      <w:r>
        <w:rPr>
          <w:rFonts w:ascii="Arial" w:hAnsi="Arial" w:cs="Arial"/>
          <w:i/>
        </w:rPr>
        <w:t>(Párrafo décimo séptimo)</w:t>
      </w:r>
    </w:p>
    <w:p w14:paraId="30F0D670" w14:textId="4F0754CE" w:rsidR="00C15300" w:rsidRPr="00E321AC" w:rsidRDefault="00C15300" w:rsidP="00C15300">
      <w:pPr>
        <w:spacing w:before="240"/>
        <w:ind w:left="708" w:right="49"/>
        <w:jc w:val="both"/>
        <w:rPr>
          <w:rFonts w:ascii="Arial" w:hAnsi="Arial" w:cs="Arial"/>
          <w:i/>
        </w:rPr>
      </w:pPr>
      <w:r w:rsidRPr="00E321AC">
        <w:rPr>
          <w:rFonts w:ascii="Arial" w:hAnsi="Arial" w:cs="Arial"/>
          <w:b/>
          <w:i/>
          <w:u w:val="single"/>
        </w:rPr>
        <w:t>La ley determinará la estructura orgánica y de dirección de la Guardia Nacional, que estará adscrita a la secretaría del ramo de seguridad pública</w:t>
      </w:r>
      <w:r w:rsidRPr="00E321AC">
        <w:rPr>
          <w:rFonts w:ascii="Arial" w:hAnsi="Arial" w:cs="Arial"/>
          <w:i/>
        </w:rPr>
        <w:t>, que formulará la Estrategia Nacional de Seguridad Pública, los respectivos programas, políticas y acciones.</w:t>
      </w:r>
      <w:r>
        <w:rPr>
          <w:rFonts w:ascii="Arial" w:hAnsi="Arial" w:cs="Arial"/>
          <w:i/>
        </w:rPr>
        <w:t xml:space="preserve"> […]</w:t>
      </w:r>
    </w:p>
    <w:p w14:paraId="12CC3484" w14:textId="77777777" w:rsidR="00C15300" w:rsidRDefault="00C15300" w:rsidP="00C15300">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 xml:space="preserve">Así, del numeral transcrito se desprende que las policías actuaran bajo la conducción y mando del Ministerio Público, que la seguridad pública es una tarea a cargo de los tres órdenes de gobierno, cuyos fines son salvaguardar la vida, las libertades, la integridad y el patrimonio de las personas, así como la preservación del orden público y la paz, de conformidad con la Constitución, además que de que las instituciones de seguridad pública incluyendo a la Guardia Nacional se regirán por ciertos principios, respeto a los derechos humanos y al imperio de la ley, asimismo, que estas serán de carácter civil, y reitera que la Guardia Nacional será una institución policiaca de carácter civil, que estará adscrita a la secretaría del ramo de seguridad pública y su objetivo será la seguridad pública.  </w:t>
      </w:r>
    </w:p>
    <w:p w14:paraId="767AA25E" w14:textId="2B69554D" w:rsidR="00C15300" w:rsidRPr="00C721E9" w:rsidRDefault="00AD2BF9" w:rsidP="00C15300">
      <w:pPr>
        <w:jc w:val="both"/>
        <w:rPr>
          <w:rFonts w:ascii="Arial" w:hAnsi="Arial" w:cs="Arial"/>
          <w:sz w:val="24"/>
          <w:szCs w:val="24"/>
        </w:rPr>
      </w:pPr>
      <w:r>
        <w:rPr>
          <w:rFonts w:ascii="Arial" w:hAnsi="Arial" w:cs="Arial"/>
          <w:sz w:val="24"/>
          <w:szCs w:val="24"/>
        </w:rPr>
        <w:t xml:space="preserve">Como se mencionó en el concepto de violación anterior, </w:t>
      </w:r>
      <w:r w:rsidR="00C15300">
        <w:rPr>
          <w:rFonts w:ascii="Arial" w:hAnsi="Arial" w:cs="Arial"/>
          <w:sz w:val="24"/>
          <w:szCs w:val="24"/>
        </w:rPr>
        <w:t xml:space="preserve">la palabra </w:t>
      </w:r>
      <w:r w:rsidR="00C15300" w:rsidRPr="00C721E9">
        <w:rPr>
          <w:rFonts w:ascii="Arial" w:hAnsi="Arial" w:cs="Arial"/>
          <w:sz w:val="24"/>
          <w:szCs w:val="24"/>
        </w:rPr>
        <w:t>Civil significa según el Diccionari</w:t>
      </w:r>
      <w:r w:rsidR="00C15300">
        <w:rPr>
          <w:rFonts w:ascii="Arial" w:hAnsi="Arial" w:cs="Arial"/>
          <w:sz w:val="24"/>
          <w:szCs w:val="24"/>
        </w:rPr>
        <w:t>o de la Real Academia Española</w:t>
      </w:r>
      <w:r>
        <w:rPr>
          <w:rFonts w:ascii="Arial" w:hAnsi="Arial" w:cs="Arial"/>
          <w:sz w:val="24"/>
          <w:szCs w:val="24"/>
        </w:rPr>
        <w:t xml:space="preserve"> significa</w:t>
      </w:r>
      <w:r w:rsidR="00C15300">
        <w:rPr>
          <w:rFonts w:ascii="Arial" w:hAnsi="Arial" w:cs="Arial"/>
          <w:sz w:val="24"/>
          <w:szCs w:val="24"/>
        </w:rPr>
        <w:t xml:space="preserve">: </w:t>
      </w:r>
      <w:r w:rsidR="00C15300" w:rsidRPr="00C721E9">
        <w:rPr>
          <w:rStyle w:val="nacep"/>
          <w:rFonts w:ascii="Arial" w:eastAsia="Arial Unicode MS" w:hAnsi="Arial" w:cs="Arial"/>
          <w:bCs/>
          <w:color w:val="000000"/>
          <w:spacing w:val="4"/>
          <w:sz w:val="24"/>
          <w:szCs w:val="24"/>
          <w:shd w:val="clear" w:color="auto" w:fill="FFFFFF"/>
        </w:rPr>
        <w:t>q</w:t>
      </w:r>
      <w:r w:rsidR="00C15300" w:rsidRPr="00C721E9">
        <w:rPr>
          <w:rFonts w:ascii="Arial" w:hAnsi="Arial" w:cs="Arial"/>
          <w:sz w:val="24"/>
          <w:szCs w:val="24"/>
        </w:rPr>
        <w:t>ue</w:t>
      </w:r>
      <w:r w:rsidR="00C15300" w:rsidRPr="00C721E9">
        <w:rPr>
          <w:rFonts w:ascii="Arial" w:eastAsia="Arial Unicode MS" w:hAnsi="Arial" w:cs="Arial"/>
          <w:color w:val="000000"/>
          <w:spacing w:val="4"/>
          <w:sz w:val="24"/>
          <w:szCs w:val="24"/>
          <w:shd w:val="clear" w:color="auto" w:fill="FFFFFF"/>
        </w:rPr>
        <w:t> </w:t>
      </w:r>
      <w:r w:rsidR="00C15300" w:rsidRPr="00C721E9">
        <w:rPr>
          <w:rFonts w:ascii="Arial" w:hAnsi="Arial" w:cs="Arial"/>
          <w:sz w:val="24"/>
          <w:szCs w:val="24"/>
        </w:rPr>
        <w:t>no</w:t>
      </w:r>
      <w:r w:rsidR="00C15300" w:rsidRPr="00C721E9">
        <w:rPr>
          <w:rFonts w:ascii="Arial" w:eastAsia="Arial Unicode MS" w:hAnsi="Arial" w:cs="Arial"/>
          <w:color w:val="000000"/>
          <w:spacing w:val="4"/>
          <w:sz w:val="24"/>
          <w:szCs w:val="24"/>
          <w:shd w:val="clear" w:color="auto" w:fill="FFFFFF"/>
        </w:rPr>
        <w:t> </w:t>
      </w:r>
      <w:r w:rsidR="00C15300" w:rsidRPr="00C721E9">
        <w:rPr>
          <w:rFonts w:ascii="Arial" w:hAnsi="Arial" w:cs="Arial"/>
          <w:sz w:val="24"/>
          <w:szCs w:val="24"/>
        </w:rPr>
        <w:t>es</w:t>
      </w:r>
      <w:r w:rsidR="00C15300" w:rsidRPr="00C721E9">
        <w:rPr>
          <w:rFonts w:ascii="Arial" w:eastAsia="Arial Unicode MS" w:hAnsi="Arial" w:cs="Arial"/>
          <w:color w:val="000000"/>
          <w:spacing w:val="4"/>
          <w:sz w:val="24"/>
          <w:szCs w:val="24"/>
          <w:shd w:val="clear" w:color="auto" w:fill="FFFFFF"/>
        </w:rPr>
        <w:t> </w:t>
      </w:r>
      <w:r w:rsidR="00C15300" w:rsidRPr="00C721E9">
        <w:rPr>
          <w:rFonts w:ascii="Arial" w:hAnsi="Arial" w:cs="Arial"/>
          <w:sz w:val="24"/>
          <w:szCs w:val="24"/>
        </w:rPr>
        <w:t>militar</w:t>
      </w:r>
      <w:r w:rsidR="00C15300" w:rsidRPr="00C721E9">
        <w:rPr>
          <w:rFonts w:ascii="Arial" w:eastAsia="Arial Unicode MS" w:hAnsi="Arial" w:cs="Arial"/>
          <w:color w:val="000000"/>
          <w:spacing w:val="4"/>
          <w:sz w:val="24"/>
          <w:szCs w:val="24"/>
          <w:shd w:val="clear" w:color="auto" w:fill="FFFFFF"/>
        </w:rPr>
        <w:t> </w:t>
      </w:r>
      <w:r w:rsidR="00C15300" w:rsidRPr="00C721E9">
        <w:rPr>
          <w:rFonts w:ascii="Arial" w:hAnsi="Arial" w:cs="Arial"/>
          <w:sz w:val="24"/>
          <w:szCs w:val="24"/>
        </w:rPr>
        <w:t>ni</w:t>
      </w:r>
      <w:r w:rsidR="00C15300" w:rsidRPr="00C721E9">
        <w:rPr>
          <w:rFonts w:ascii="Arial" w:eastAsia="Arial Unicode MS" w:hAnsi="Arial" w:cs="Arial"/>
          <w:color w:val="000000"/>
          <w:spacing w:val="4"/>
          <w:sz w:val="24"/>
          <w:szCs w:val="24"/>
          <w:shd w:val="clear" w:color="auto" w:fill="FFFFFF"/>
        </w:rPr>
        <w:t> </w:t>
      </w:r>
      <w:r w:rsidR="00C15300" w:rsidRPr="00C721E9">
        <w:rPr>
          <w:rFonts w:ascii="Arial" w:hAnsi="Arial" w:cs="Arial"/>
          <w:sz w:val="24"/>
          <w:szCs w:val="24"/>
        </w:rPr>
        <w:t>eclesiástico</w:t>
      </w:r>
      <w:r w:rsidR="00C15300" w:rsidRPr="00C721E9">
        <w:rPr>
          <w:rFonts w:ascii="Arial" w:eastAsia="Arial Unicode MS" w:hAnsi="Arial" w:cs="Arial"/>
          <w:color w:val="000000"/>
          <w:spacing w:val="4"/>
          <w:sz w:val="24"/>
          <w:szCs w:val="24"/>
          <w:shd w:val="clear" w:color="auto" w:fill="FFFFFF"/>
        </w:rPr>
        <w:t> </w:t>
      </w:r>
      <w:r w:rsidR="00C15300" w:rsidRPr="00C721E9">
        <w:rPr>
          <w:rFonts w:ascii="Arial" w:hAnsi="Arial" w:cs="Arial"/>
          <w:sz w:val="24"/>
          <w:szCs w:val="24"/>
        </w:rPr>
        <w:t>o</w:t>
      </w:r>
      <w:r w:rsidR="00C15300" w:rsidRPr="00C721E9">
        <w:rPr>
          <w:rFonts w:ascii="Arial" w:eastAsia="Arial Unicode MS" w:hAnsi="Arial" w:cs="Arial"/>
          <w:color w:val="000000"/>
          <w:spacing w:val="4"/>
          <w:sz w:val="24"/>
          <w:szCs w:val="24"/>
          <w:shd w:val="clear" w:color="auto" w:fill="FFFFFF"/>
        </w:rPr>
        <w:t> </w:t>
      </w:r>
      <w:r w:rsidR="00C15300" w:rsidRPr="00C721E9">
        <w:rPr>
          <w:rFonts w:ascii="Arial" w:hAnsi="Arial" w:cs="Arial"/>
          <w:sz w:val="24"/>
          <w:szCs w:val="24"/>
        </w:rPr>
        <w:t>religioso</w:t>
      </w:r>
      <w:r w:rsidR="00C15300" w:rsidRPr="00C721E9">
        <w:rPr>
          <w:rFonts w:ascii="Arial" w:eastAsia="Arial Unicode MS" w:hAnsi="Arial" w:cs="Arial"/>
          <w:color w:val="000000"/>
          <w:spacing w:val="4"/>
          <w:sz w:val="24"/>
          <w:szCs w:val="24"/>
          <w:shd w:val="clear" w:color="auto" w:fill="FFFFFF"/>
        </w:rPr>
        <w:t>.</w:t>
      </w:r>
      <w:r w:rsidR="00C15300">
        <w:rPr>
          <w:rFonts w:ascii="Arial" w:eastAsia="Arial Unicode MS" w:hAnsi="Arial" w:cs="Arial"/>
          <w:color w:val="000000"/>
          <w:spacing w:val="4"/>
          <w:sz w:val="24"/>
          <w:szCs w:val="24"/>
          <w:shd w:val="clear" w:color="auto" w:fill="FFFFFF"/>
        </w:rPr>
        <w:t xml:space="preserve"> Mientras que por militar se entienda servir en la guerra o profesar la milicia. Y por milicia arte de hacer la guerra y de disciplinar a los soldados para ella, servicio o profesión militar. </w:t>
      </w:r>
    </w:p>
    <w:p w14:paraId="7FFD4862" w14:textId="122C949A" w:rsidR="00C15300" w:rsidRDefault="00CF3902" w:rsidP="00C15300">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La norma general t</w:t>
      </w:r>
      <w:r w:rsidR="00C15300">
        <w:rPr>
          <w:rFonts w:ascii="Arial" w:hAnsi="Arial" w:cs="Arial"/>
          <w:sz w:val="24"/>
          <w:szCs w:val="24"/>
          <w:shd w:val="clear" w:color="auto" w:fill="FFFFFF"/>
        </w:rPr>
        <w:t xml:space="preserve">ransgrede absolutamente el numeral 21 Constitucional, porque permite que la Secretaría de la Defensa Nacional ejerza el control operativo y administrativo de la Guardia Nacional y que cuando el titular del Ejecutivo Federal disponga de su intervención para el auxilio de la Fuerza Armada Permanente en el ejercicio de sus misiones. Y cuando algo está sujeto a la estructura de una secretaría encargada de la defensa nacional difícilmente mantendrá un carácter civil alejado de lo militar, máxime que el presidente sólo puede usar al Ejército de manera extraordinaria, subordinada, fiscalizada, de conformidad con los parámetros que se expondrán más adelante. Además la norma reclamada le permite expedir al Secretario de la Defensa Nacional (SEDENA) los manuales de organización, procedimientos y de servicio al público de la Guardia Nacional, es decir, le va a decir cómo actuar hacia nosotros, </w:t>
      </w:r>
      <w:r w:rsidR="00C15300">
        <w:rPr>
          <w:rFonts w:ascii="Arial" w:hAnsi="Arial" w:cs="Arial"/>
          <w:sz w:val="24"/>
          <w:szCs w:val="24"/>
          <w:shd w:val="clear" w:color="auto" w:fill="FFFFFF"/>
        </w:rPr>
        <w:lastRenderedPageBreak/>
        <w:t xml:space="preserve">siendo que como se explicó al principio de este concepto de violación la naturaleza de la defensa nacional o institución castrense es bélica, lo cual quieren que imite al menos como copia íntegra la Guardia Nacional, y bien sabemos que en la realidad como el último hecho narrado en los antecedentes los elementos de la Guardia Nacional disparan incluso bajo el mando de la SEDENA a manifestantes en ejercicio de su derecho de libertad de reunión, circunstancias que lo hacen inconstitucional, además la norma reclamada especificada en este párrafo permite que la SEDENA elabore los programas y estrategias de la Guardia Nacional para capacitar a los elementos de la Guardia Nacional lo cual es absurdo e inconstitucional, toda vez que para capacitar a alguien no es necesario que los alumnos se sometan al fuero militar, sino que la SEDENA podría capacitar en ciertos aspectos a la Guardia Nacional sin necesidad de que pierda su carácter civil tal como lo está deformando la norma reclamada. Asimismo es inconstitucional porque propone organizar la distribución territorial de la Guardia Nacional y adecuaciones a su estructura orgánica, permitiendo una adecuada militarización del país en todo el territorio influyendo directamente en la estructura interna de la institución que debería ser civil pero ahora en el corazón la norma general reclamada lo está deformando a militar. Es inconstitucional porque el último párrafo del artículo 21 Constitucional establece que </w:t>
      </w:r>
      <w:r w:rsidR="00C15300">
        <w:rPr>
          <w:rFonts w:ascii="Arial" w:hAnsi="Arial" w:cs="Arial"/>
          <w:b/>
          <w:i/>
          <w:u w:val="single"/>
        </w:rPr>
        <w:t>la</w:t>
      </w:r>
      <w:r w:rsidR="00C15300" w:rsidRPr="00E321AC">
        <w:rPr>
          <w:rFonts w:ascii="Arial" w:hAnsi="Arial" w:cs="Arial"/>
          <w:b/>
          <w:i/>
          <w:u w:val="single"/>
        </w:rPr>
        <w:t xml:space="preserve"> estructura orgánica y de dirección de la Guardia Nacional, </w:t>
      </w:r>
      <w:r w:rsidR="00C15300">
        <w:rPr>
          <w:rFonts w:ascii="Arial" w:hAnsi="Arial" w:cs="Arial"/>
          <w:b/>
          <w:i/>
          <w:u w:val="single"/>
        </w:rPr>
        <w:t>según la Constitución Federal deberá estar</w:t>
      </w:r>
      <w:r w:rsidR="00C15300" w:rsidRPr="00E321AC">
        <w:rPr>
          <w:rFonts w:ascii="Arial" w:hAnsi="Arial" w:cs="Arial"/>
          <w:b/>
          <w:i/>
          <w:u w:val="single"/>
        </w:rPr>
        <w:t xml:space="preserve"> adscrita a la secretaría del ramo de seguridad pública</w:t>
      </w:r>
      <w:r w:rsidR="00C15300">
        <w:rPr>
          <w:rFonts w:ascii="Arial" w:hAnsi="Arial" w:cs="Arial"/>
          <w:b/>
          <w:i/>
          <w:u w:val="single"/>
        </w:rPr>
        <w:t>, es decir a la Secretaría de Seguridad y Protección Ciudadana, y no a la Secretaría de la  Defensa Nacional.</w:t>
      </w:r>
      <w:bookmarkStart w:id="1" w:name="_GoBack"/>
      <w:bookmarkEnd w:id="1"/>
    </w:p>
    <w:p w14:paraId="778FF0D7" w14:textId="2674CD1E" w:rsidR="00936E44" w:rsidRDefault="006C3FF3" w:rsidP="00936E44">
      <w:pPr>
        <w:spacing w:before="240"/>
        <w:ind w:right="49"/>
        <w:jc w:val="both"/>
        <w:rPr>
          <w:rFonts w:ascii="Arial" w:hAnsi="Arial" w:cs="Arial"/>
          <w:sz w:val="24"/>
          <w:szCs w:val="24"/>
        </w:rPr>
      </w:pPr>
      <w:r w:rsidRPr="006C3FF3">
        <w:rPr>
          <w:rFonts w:ascii="Arial" w:hAnsi="Arial" w:cs="Arial"/>
          <w:b/>
        </w:rPr>
        <w:t>TERCERO.</w:t>
      </w:r>
      <w:r w:rsidR="007D23FB">
        <w:rPr>
          <w:rFonts w:ascii="Arial" w:hAnsi="Arial" w:cs="Arial"/>
          <w:b/>
        </w:rPr>
        <w:t xml:space="preserve"> En cuanto al deber de evaluar las instituciones de seguridad pública.</w:t>
      </w:r>
      <w:r w:rsidR="00936E44">
        <w:rPr>
          <w:rFonts w:ascii="Arial" w:hAnsi="Arial" w:cs="Arial"/>
          <w:b/>
        </w:rPr>
        <w:t xml:space="preserve"> </w:t>
      </w:r>
      <w:r w:rsidR="00936E44" w:rsidRPr="00E321AC">
        <w:rPr>
          <w:rFonts w:ascii="Arial" w:hAnsi="Arial" w:cs="Arial"/>
          <w:bCs/>
          <w:sz w:val="24"/>
          <w:szCs w:val="24"/>
        </w:rPr>
        <w:t xml:space="preserve">Las normas generales reclamadas transgreden en nuestro perjuicio el artículo </w:t>
      </w:r>
      <w:r w:rsidR="00936E44" w:rsidRPr="00E321AC">
        <w:rPr>
          <w:rFonts w:ascii="Arial" w:hAnsi="Arial" w:cs="Arial"/>
          <w:b/>
          <w:sz w:val="24"/>
          <w:szCs w:val="24"/>
        </w:rPr>
        <w:t>21</w:t>
      </w:r>
      <w:r w:rsidR="00936E44">
        <w:rPr>
          <w:rFonts w:ascii="Arial" w:hAnsi="Arial" w:cs="Arial"/>
          <w:sz w:val="24"/>
          <w:szCs w:val="24"/>
        </w:rPr>
        <w:t xml:space="preserve"> </w:t>
      </w:r>
      <w:r w:rsidR="00936E44" w:rsidRPr="00E321AC">
        <w:rPr>
          <w:rFonts w:ascii="Arial" w:hAnsi="Arial" w:cs="Arial"/>
          <w:sz w:val="24"/>
          <w:szCs w:val="24"/>
        </w:rPr>
        <w:t xml:space="preserve">de la Constitución Política </w:t>
      </w:r>
      <w:r w:rsidR="00936E44">
        <w:rPr>
          <w:rFonts w:ascii="Arial" w:hAnsi="Arial" w:cs="Arial"/>
          <w:sz w:val="24"/>
          <w:szCs w:val="24"/>
        </w:rPr>
        <w:t>de los Estados Unidos Mexicanos, en especial el párrafo décimo cuarto, como se demostrará a continuación:</w:t>
      </w:r>
    </w:p>
    <w:p w14:paraId="6239FD88" w14:textId="1D4DD576" w:rsidR="00936E44" w:rsidRPr="00E321AC" w:rsidRDefault="00936E44" w:rsidP="00936E44">
      <w:pPr>
        <w:spacing w:before="240"/>
        <w:ind w:left="708" w:right="49"/>
        <w:jc w:val="both"/>
        <w:rPr>
          <w:rFonts w:ascii="Arial" w:hAnsi="Arial" w:cs="Arial"/>
          <w:i/>
        </w:rPr>
      </w:pPr>
      <w:r w:rsidRPr="006C3FF3">
        <w:rPr>
          <w:rFonts w:ascii="Arial" w:hAnsi="Arial" w:cs="Arial"/>
          <w:b/>
          <w:i/>
        </w:rPr>
        <w:t>Artículo 21</w:t>
      </w:r>
      <w:r w:rsidRPr="006C3FF3">
        <w:rPr>
          <w:rFonts w:ascii="Arial" w:hAnsi="Arial" w:cs="Arial"/>
          <w:i/>
        </w:rPr>
        <w:t>.</w:t>
      </w:r>
      <w:r>
        <w:rPr>
          <w:rFonts w:ascii="Arial" w:hAnsi="Arial" w:cs="Arial"/>
          <w:i/>
        </w:rPr>
        <w:t xml:space="preserve"> […] (Párrafo décimo cuarto)</w:t>
      </w:r>
    </w:p>
    <w:p w14:paraId="6B1479D2" w14:textId="1FF1B277" w:rsidR="00D41930" w:rsidRDefault="00D41930" w:rsidP="00D41930">
      <w:pPr>
        <w:ind w:left="708"/>
        <w:jc w:val="both"/>
        <w:rPr>
          <w:rFonts w:ascii="Arial" w:hAnsi="Arial" w:cs="Arial"/>
          <w:i/>
        </w:rPr>
      </w:pPr>
      <w:r w:rsidRPr="00E321AC">
        <w:rPr>
          <w:rFonts w:ascii="Arial" w:hAnsi="Arial" w:cs="Arial"/>
          <w:b/>
          <w:i/>
        </w:rPr>
        <w:t xml:space="preserve">d) </w:t>
      </w:r>
      <w:r w:rsidRPr="00D41930">
        <w:rPr>
          <w:rFonts w:ascii="Arial" w:hAnsi="Arial" w:cs="Arial"/>
          <w:i/>
        </w:rPr>
        <w:t>Se determinará la participación de la comunidad que coadyuvará, entre otros, en los procesos de evaluación de las políticas de prevención del delito así como de las instituciones de seguridad pública.</w:t>
      </w:r>
      <w:r>
        <w:rPr>
          <w:rFonts w:ascii="Arial" w:hAnsi="Arial" w:cs="Arial"/>
          <w:i/>
        </w:rPr>
        <w:t xml:space="preserve"> […]</w:t>
      </w:r>
    </w:p>
    <w:p w14:paraId="5C353736" w14:textId="35BD3D4E" w:rsidR="007D23FB" w:rsidRPr="009D3D95" w:rsidRDefault="008D061B" w:rsidP="008D061B">
      <w:pPr>
        <w:jc w:val="both"/>
        <w:rPr>
          <w:rFonts w:ascii="Arial" w:hAnsi="Arial" w:cs="Arial"/>
          <w:sz w:val="24"/>
        </w:rPr>
      </w:pPr>
      <w:r>
        <w:rPr>
          <w:rFonts w:ascii="Arial" w:hAnsi="Arial" w:cs="Arial"/>
          <w:sz w:val="24"/>
          <w:szCs w:val="24"/>
        </w:rPr>
        <w:t xml:space="preserve">Lo anterior, toda vez que ni en la norma general ni en la iniciativa legislativa correspondiente se desprende una evaluación que tome en consideración las violaciones a derechos humanos, delitos y faltas administrativas cometidas por los elementos de la Guardia Nacional: </w:t>
      </w:r>
      <w:hyperlink r:id="rId39" w:history="1">
        <w:r w:rsidR="007D23FB" w:rsidRPr="00DD0F78">
          <w:rPr>
            <w:rStyle w:val="Hipervnculo"/>
            <w:rFonts w:ascii="Arial" w:hAnsi="Arial" w:cs="Arial"/>
            <w:b/>
          </w:rPr>
          <w:t>http://gaceta.diputados.gob.mx/PDF/65/2022/ago/20220831-III.pdf</w:t>
        </w:r>
      </w:hyperlink>
      <w:r>
        <w:rPr>
          <w:rFonts w:ascii="Arial" w:hAnsi="Arial" w:cs="Arial"/>
          <w:b/>
        </w:rPr>
        <w:t xml:space="preserve">, </w:t>
      </w:r>
      <w:r w:rsidRPr="009D3D95">
        <w:rPr>
          <w:rFonts w:ascii="Arial" w:hAnsi="Arial" w:cs="Arial"/>
          <w:sz w:val="24"/>
        </w:rPr>
        <w:t>únicamente se habla de</w:t>
      </w:r>
      <w:r w:rsidR="009D3D95" w:rsidRPr="009D3D95">
        <w:rPr>
          <w:rFonts w:ascii="Arial" w:hAnsi="Arial" w:cs="Arial"/>
          <w:sz w:val="24"/>
        </w:rPr>
        <w:t xml:space="preserve"> lo que les conviene, de</w:t>
      </w:r>
      <w:r w:rsidRPr="009D3D95">
        <w:rPr>
          <w:rFonts w:ascii="Arial" w:hAnsi="Arial" w:cs="Arial"/>
          <w:sz w:val="24"/>
        </w:rPr>
        <w:t xml:space="preserve"> las bondades de la Guardia Nacional y del Ejército con adjetivos que los califican con un </w:t>
      </w:r>
      <w:r w:rsidR="009D3D95">
        <w:rPr>
          <w:rFonts w:ascii="Arial" w:hAnsi="Arial" w:cs="Arial"/>
          <w:sz w:val="24"/>
        </w:rPr>
        <w:t>buen desempeño</w:t>
      </w:r>
      <w:r w:rsidRPr="009D3D95">
        <w:rPr>
          <w:rFonts w:ascii="Arial" w:hAnsi="Arial" w:cs="Arial"/>
          <w:sz w:val="24"/>
        </w:rPr>
        <w:t xml:space="preserve">. </w:t>
      </w:r>
    </w:p>
    <w:p w14:paraId="47FC6D6A" w14:textId="0268F9D0" w:rsidR="008D061B" w:rsidRDefault="008D061B" w:rsidP="008D061B">
      <w:pPr>
        <w:jc w:val="both"/>
        <w:rPr>
          <w:rFonts w:ascii="Arial" w:hAnsi="Arial" w:cs="Arial"/>
          <w:sz w:val="24"/>
          <w:szCs w:val="24"/>
        </w:rPr>
      </w:pPr>
      <w:r>
        <w:rPr>
          <w:rFonts w:ascii="Arial" w:hAnsi="Arial" w:cs="Arial"/>
          <w:sz w:val="24"/>
          <w:szCs w:val="24"/>
        </w:rPr>
        <w:t>Siendo que una evaluación es la acción</w:t>
      </w:r>
      <w:r w:rsidRPr="00104388">
        <w:rPr>
          <w:rFonts w:ascii="Arial" w:eastAsia="Arial Unicode MS" w:hAnsi="Arial" w:cs="Arial"/>
          <w:color w:val="000000"/>
          <w:spacing w:val="4"/>
          <w:sz w:val="24"/>
          <w:szCs w:val="24"/>
          <w:shd w:val="clear" w:color="auto" w:fill="FFFFFF"/>
        </w:rPr>
        <w:t> </w:t>
      </w:r>
      <w:r w:rsidRPr="00104388">
        <w:rPr>
          <w:rFonts w:ascii="Arial" w:hAnsi="Arial" w:cs="Arial"/>
          <w:sz w:val="24"/>
          <w:szCs w:val="24"/>
        </w:rPr>
        <w:t>y</w:t>
      </w:r>
      <w:r w:rsidRPr="00104388">
        <w:rPr>
          <w:rFonts w:ascii="Arial" w:eastAsia="Arial Unicode MS" w:hAnsi="Arial" w:cs="Arial"/>
          <w:color w:val="000000"/>
          <w:spacing w:val="4"/>
          <w:sz w:val="24"/>
          <w:szCs w:val="24"/>
          <w:shd w:val="clear" w:color="auto" w:fill="FFFFFF"/>
        </w:rPr>
        <w:t> </w:t>
      </w:r>
      <w:r w:rsidRPr="00104388">
        <w:rPr>
          <w:rFonts w:ascii="Arial" w:hAnsi="Arial" w:cs="Arial"/>
          <w:sz w:val="24"/>
          <w:szCs w:val="24"/>
        </w:rPr>
        <w:t>efecto</w:t>
      </w:r>
      <w:r w:rsidRPr="00104388">
        <w:rPr>
          <w:rFonts w:ascii="Arial" w:eastAsia="Arial Unicode MS" w:hAnsi="Arial" w:cs="Arial"/>
          <w:color w:val="000000"/>
          <w:spacing w:val="4"/>
          <w:sz w:val="24"/>
          <w:szCs w:val="24"/>
          <w:shd w:val="clear" w:color="auto" w:fill="FFFFFF"/>
        </w:rPr>
        <w:t> </w:t>
      </w:r>
      <w:r w:rsidRPr="00104388">
        <w:rPr>
          <w:rFonts w:ascii="Arial" w:hAnsi="Arial" w:cs="Arial"/>
          <w:sz w:val="24"/>
          <w:szCs w:val="24"/>
        </w:rPr>
        <w:t>de</w:t>
      </w:r>
      <w:r w:rsidRPr="00104388">
        <w:rPr>
          <w:rFonts w:ascii="Arial" w:eastAsia="Arial Unicode MS" w:hAnsi="Arial" w:cs="Arial"/>
          <w:color w:val="000000"/>
          <w:spacing w:val="4"/>
          <w:sz w:val="24"/>
          <w:szCs w:val="24"/>
          <w:shd w:val="clear" w:color="auto" w:fill="FFFFFF"/>
        </w:rPr>
        <w:t> </w:t>
      </w:r>
      <w:r w:rsidRPr="00104388">
        <w:rPr>
          <w:rFonts w:ascii="Arial" w:hAnsi="Arial" w:cs="Arial"/>
          <w:sz w:val="24"/>
          <w:szCs w:val="24"/>
        </w:rPr>
        <w:t>evaluar</w:t>
      </w:r>
      <w:r w:rsidRPr="00104388">
        <w:rPr>
          <w:rFonts w:ascii="Arial" w:eastAsia="Arial Unicode MS" w:hAnsi="Arial" w:cs="Arial"/>
          <w:color w:val="000000"/>
          <w:spacing w:val="4"/>
          <w:sz w:val="24"/>
          <w:szCs w:val="24"/>
          <w:shd w:val="clear" w:color="auto" w:fill="FFFFFF"/>
        </w:rPr>
        <w:t>, es decir, e</w:t>
      </w:r>
      <w:r w:rsidRPr="00104388">
        <w:rPr>
          <w:rFonts w:ascii="Arial" w:hAnsi="Arial" w:cs="Arial"/>
          <w:sz w:val="24"/>
          <w:szCs w:val="24"/>
        </w:rPr>
        <w:t>stimar</w:t>
      </w:r>
      <w:r w:rsidRPr="00104388">
        <w:rPr>
          <w:rFonts w:ascii="Arial" w:eastAsia="Arial Unicode MS" w:hAnsi="Arial" w:cs="Arial"/>
          <w:color w:val="000000"/>
          <w:spacing w:val="4"/>
          <w:sz w:val="24"/>
          <w:szCs w:val="24"/>
          <w:shd w:val="clear" w:color="auto" w:fill="FFFFFF"/>
        </w:rPr>
        <w:t>, </w:t>
      </w:r>
      <w:r w:rsidRPr="00104388">
        <w:rPr>
          <w:rFonts w:ascii="Arial" w:hAnsi="Arial" w:cs="Arial"/>
          <w:sz w:val="24"/>
          <w:szCs w:val="24"/>
        </w:rPr>
        <w:t>apreciar</w:t>
      </w:r>
      <w:r w:rsidRPr="00104388">
        <w:rPr>
          <w:rFonts w:ascii="Arial" w:eastAsia="Arial Unicode MS" w:hAnsi="Arial" w:cs="Arial"/>
          <w:color w:val="000000"/>
          <w:spacing w:val="4"/>
          <w:sz w:val="24"/>
          <w:szCs w:val="24"/>
          <w:shd w:val="clear" w:color="auto" w:fill="FFFFFF"/>
        </w:rPr>
        <w:t>, </w:t>
      </w:r>
      <w:r w:rsidRPr="00104388">
        <w:rPr>
          <w:rFonts w:ascii="Arial" w:hAnsi="Arial" w:cs="Arial"/>
          <w:sz w:val="24"/>
          <w:szCs w:val="24"/>
        </w:rPr>
        <w:t>calcular</w:t>
      </w:r>
      <w:r w:rsidRPr="00104388">
        <w:rPr>
          <w:rFonts w:ascii="Arial" w:eastAsia="Arial Unicode MS" w:hAnsi="Arial" w:cs="Arial"/>
          <w:color w:val="000000"/>
          <w:spacing w:val="4"/>
          <w:sz w:val="24"/>
          <w:szCs w:val="24"/>
          <w:shd w:val="clear" w:color="auto" w:fill="FFFFFF"/>
        </w:rPr>
        <w:t> </w:t>
      </w:r>
      <w:r w:rsidRPr="00104388">
        <w:rPr>
          <w:rFonts w:ascii="Arial" w:hAnsi="Arial" w:cs="Arial"/>
          <w:sz w:val="24"/>
          <w:szCs w:val="24"/>
        </w:rPr>
        <w:t>el</w:t>
      </w:r>
      <w:r w:rsidRPr="00104388">
        <w:rPr>
          <w:rFonts w:ascii="Arial" w:eastAsia="Arial Unicode MS" w:hAnsi="Arial" w:cs="Arial"/>
          <w:color w:val="000000"/>
          <w:spacing w:val="4"/>
          <w:sz w:val="24"/>
          <w:szCs w:val="24"/>
          <w:shd w:val="clear" w:color="auto" w:fill="FFFFFF"/>
        </w:rPr>
        <w:t> </w:t>
      </w:r>
      <w:r w:rsidRPr="00104388">
        <w:rPr>
          <w:rFonts w:ascii="Arial" w:hAnsi="Arial" w:cs="Arial"/>
          <w:sz w:val="24"/>
          <w:szCs w:val="24"/>
        </w:rPr>
        <w:t>valor</w:t>
      </w:r>
      <w:r w:rsidRPr="00104388">
        <w:rPr>
          <w:rFonts w:ascii="Arial" w:eastAsia="Arial Unicode MS" w:hAnsi="Arial" w:cs="Arial"/>
          <w:color w:val="000000"/>
          <w:spacing w:val="4"/>
          <w:sz w:val="24"/>
          <w:szCs w:val="24"/>
          <w:shd w:val="clear" w:color="auto" w:fill="FFFFFF"/>
        </w:rPr>
        <w:t> </w:t>
      </w:r>
      <w:r w:rsidRPr="00104388">
        <w:rPr>
          <w:rFonts w:ascii="Arial" w:hAnsi="Arial" w:cs="Arial"/>
          <w:sz w:val="24"/>
          <w:szCs w:val="24"/>
        </w:rPr>
        <w:t>de</w:t>
      </w:r>
      <w:r w:rsidRPr="00104388">
        <w:rPr>
          <w:rFonts w:ascii="Arial" w:eastAsia="Arial Unicode MS" w:hAnsi="Arial" w:cs="Arial"/>
          <w:color w:val="000000"/>
          <w:spacing w:val="4"/>
          <w:sz w:val="24"/>
          <w:szCs w:val="24"/>
          <w:shd w:val="clear" w:color="auto" w:fill="FFFFFF"/>
        </w:rPr>
        <w:t> </w:t>
      </w:r>
      <w:r w:rsidRPr="00104388">
        <w:rPr>
          <w:rFonts w:ascii="Arial" w:hAnsi="Arial" w:cs="Arial"/>
          <w:sz w:val="24"/>
          <w:szCs w:val="24"/>
        </w:rPr>
        <w:t>algo</w:t>
      </w:r>
      <w:r>
        <w:rPr>
          <w:rFonts w:ascii="Arial" w:hAnsi="Arial" w:cs="Arial"/>
          <w:sz w:val="24"/>
          <w:szCs w:val="24"/>
        </w:rPr>
        <w:t xml:space="preserve">. </w:t>
      </w:r>
    </w:p>
    <w:p w14:paraId="328441F2" w14:textId="7B4F7A5D" w:rsidR="000100D7" w:rsidRDefault="000100D7" w:rsidP="008D061B">
      <w:pPr>
        <w:jc w:val="both"/>
        <w:rPr>
          <w:rFonts w:ascii="Arial" w:hAnsi="Arial" w:cs="Arial"/>
          <w:bCs/>
          <w:sz w:val="24"/>
        </w:rPr>
      </w:pPr>
      <w:r>
        <w:rPr>
          <w:rFonts w:ascii="Arial" w:hAnsi="Arial" w:cs="Arial"/>
          <w:sz w:val="24"/>
          <w:szCs w:val="24"/>
        </w:rPr>
        <w:t xml:space="preserve">Porque no tomaron en consideración el </w:t>
      </w:r>
      <w:r w:rsidR="0071617E">
        <w:rPr>
          <w:rFonts w:ascii="Arial" w:hAnsi="Arial" w:cs="Arial"/>
          <w:i/>
          <w:sz w:val="24"/>
          <w:szCs w:val="24"/>
        </w:rPr>
        <w:t>Quinto I</w:t>
      </w:r>
      <w:r w:rsidRPr="0071617E">
        <w:rPr>
          <w:rFonts w:ascii="Arial" w:hAnsi="Arial" w:cs="Arial"/>
          <w:i/>
          <w:sz w:val="24"/>
          <w:szCs w:val="24"/>
        </w:rPr>
        <w:t>nforme de seguimiento de recomendaciones formuladas por la CIDH en el informe sobre la Situación de Derechos Humanos</w:t>
      </w:r>
      <w:r w:rsidR="002B178A">
        <w:rPr>
          <w:rStyle w:val="Refdenotaalpie"/>
          <w:rFonts w:ascii="Arial" w:hAnsi="Arial" w:cs="Arial"/>
          <w:i/>
          <w:sz w:val="24"/>
          <w:szCs w:val="24"/>
        </w:rPr>
        <w:footnoteReference w:id="43"/>
      </w:r>
      <w:r>
        <w:rPr>
          <w:rFonts w:ascii="Arial" w:hAnsi="Arial" w:cs="Arial"/>
          <w:sz w:val="24"/>
          <w:szCs w:val="24"/>
        </w:rPr>
        <w:t xml:space="preserve"> en México: </w:t>
      </w:r>
      <w:hyperlink r:id="rId40" w:history="1">
        <w:r w:rsidRPr="00DD0F78">
          <w:rPr>
            <w:rStyle w:val="Hipervnculo"/>
            <w:rFonts w:ascii="Arial" w:hAnsi="Arial" w:cs="Arial"/>
            <w:bCs/>
            <w:sz w:val="24"/>
          </w:rPr>
          <w:t>https://www.oas.org/es/cidh/docs/anual/2020/capitulos/IA2020cap5.MX-es.pdf</w:t>
        </w:r>
      </w:hyperlink>
      <w:r w:rsidR="0071617E">
        <w:rPr>
          <w:rFonts w:ascii="Arial" w:hAnsi="Arial" w:cs="Arial"/>
          <w:bCs/>
          <w:sz w:val="24"/>
        </w:rPr>
        <w:t xml:space="preserve">, en el que precisa concluye que México aún tiene grandes desafíos en el cumplimiento de dichas recomendaciones, específicamente en cuanto a la protección de personas defensoras y periodistas, y la protección integral de las víctimas de violaciones a los derechos humanos, con un enfoque </w:t>
      </w:r>
      <w:proofErr w:type="spellStart"/>
      <w:r w:rsidR="0071617E">
        <w:rPr>
          <w:rFonts w:ascii="Arial" w:hAnsi="Arial" w:cs="Arial"/>
          <w:bCs/>
          <w:sz w:val="24"/>
        </w:rPr>
        <w:t>interseccional</w:t>
      </w:r>
      <w:proofErr w:type="spellEnd"/>
      <w:r w:rsidR="0071617E">
        <w:rPr>
          <w:rFonts w:ascii="Arial" w:hAnsi="Arial" w:cs="Arial"/>
          <w:bCs/>
          <w:sz w:val="24"/>
        </w:rPr>
        <w:t xml:space="preserve">, o que sigue siendo preocupante los elevados números de desapariciones y homicidios. </w:t>
      </w:r>
      <w:r w:rsidR="002B178A">
        <w:rPr>
          <w:rFonts w:ascii="Arial" w:hAnsi="Arial" w:cs="Arial"/>
          <w:bCs/>
          <w:sz w:val="24"/>
        </w:rPr>
        <w:t xml:space="preserve">Y que establece en su página 1109, lo siguiente: </w:t>
      </w:r>
    </w:p>
    <w:p w14:paraId="3838EFAC" w14:textId="68B06858" w:rsidR="002B178A" w:rsidRPr="00212554" w:rsidRDefault="00212554" w:rsidP="00212554">
      <w:pPr>
        <w:ind w:left="708"/>
        <w:jc w:val="both"/>
        <w:rPr>
          <w:rFonts w:ascii="Arial" w:hAnsi="Arial" w:cs="Arial"/>
          <w:b/>
          <w:bCs/>
          <w:i/>
          <w:sz w:val="24"/>
          <w:u w:val="single"/>
        </w:rPr>
      </w:pPr>
      <w:r>
        <w:rPr>
          <w:rFonts w:ascii="Arial" w:hAnsi="Arial" w:cs="Arial"/>
          <w:i/>
        </w:rPr>
        <w:t>“</w:t>
      </w:r>
      <w:r w:rsidR="009D3D95">
        <w:rPr>
          <w:rFonts w:ascii="Arial" w:hAnsi="Arial" w:cs="Arial"/>
          <w:i/>
        </w:rPr>
        <w:t>…</w:t>
      </w:r>
      <w:r w:rsidR="002B178A" w:rsidRPr="00212554">
        <w:rPr>
          <w:rFonts w:ascii="Arial" w:hAnsi="Arial" w:cs="Arial"/>
          <w:i/>
        </w:rPr>
        <w:t xml:space="preserve">La CMDPDH indicó que las acciones del ejército y de la Guardia Nacional han resultado en graves violaciones a los derechos humanos, llamando la atención de que, </w:t>
      </w:r>
      <w:r w:rsidR="002B178A" w:rsidRPr="00212554">
        <w:rPr>
          <w:rFonts w:ascii="Arial" w:hAnsi="Arial" w:cs="Arial"/>
          <w:b/>
          <w:i/>
          <w:u w:val="single"/>
        </w:rPr>
        <w:lastRenderedPageBreak/>
        <w:t>desde su creación hasta marzo de 2020, la Guardia Nacional tenía 111 quejas ante la CNDH entre las que se incluyen denuncias por detenciones arbitrarias (27), tortura (17), uso arbitrario de la fu</w:t>
      </w:r>
      <w:r w:rsidRPr="00212554">
        <w:rPr>
          <w:rFonts w:ascii="Arial" w:hAnsi="Arial" w:cs="Arial"/>
          <w:b/>
          <w:i/>
          <w:u w:val="single"/>
        </w:rPr>
        <w:t>erza pública (15), entre otras</w:t>
      </w:r>
      <w:r w:rsidR="009D3D95">
        <w:rPr>
          <w:rFonts w:ascii="Arial" w:hAnsi="Arial" w:cs="Arial"/>
          <w:b/>
          <w:i/>
          <w:u w:val="single"/>
        </w:rPr>
        <w:t>..</w:t>
      </w:r>
      <w:r w:rsidR="002B178A" w:rsidRPr="00212554">
        <w:rPr>
          <w:rFonts w:ascii="Arial" w:hAnsi="Arial" w:cs="Arial"/>
          <w:b/>
          <w:i/>
        </w:rPr>
        <w:t>.</w:t>
      </w:r>
      <w:r w:rsidRPr="00212554">
        <w:rPr>
          <w:rFonts w:ascii="Arial" w:hAnsi="Arial" w:cs="Arial"/>
          <w:b/>
          <w:i/>
        </w:rPr>
        <w:t>”</w:t>
      </w:r>
    </w:p>
    <w:p w14:paraId="3B8352C5" w14:textId="72C472B5" w:rsidR="008D061B" w:rsidRDefault="00212554" w:rsidP="008D061B">
      <w:pPr>
        <w:pStyle w:val="Sangradetextonormal"/>
        <w:spacing w:line="276" w:lineRule="auto"/>
        <w:ind w:firstLine="0"/>
        <w:rPr>
          <w:rFonts w:ascii="Arial" w:hAnsi="Arial" w:cs="Arial"/>
          <w:bCs/>
          <w:sz w:val="24"/>
        </w:rPr>
      </w:pPr>
      <w:r>
        <w:rPr>
          <w:rFonts w:ascii="Arial" w:hAnsi="Arial" w:cs="Arial"/>
          <w:bCs/>
          <w:sz w:val="24"/>
        </w:rPr>
        <w:t>Además, las autoridades responsables</w:t>
      </w:r>
      <w:r w:rsidR="008D061B">
        <w:rPr>
          <w:rFonts w:ascii="Arial" w:hAnsi="Arial" w:cs="Arial"/>
          <w:bCs/>
          <w:sz w:val="24"/>
        </w:rPr>
        <w:t xml:space="preserve"> no tomaron en consideración </w:t>
      </w:r>
      <w:r w:rsidR="008D061B" w:rsidRPr="00B60F3D">
        <w:rPr>
          <w:rFonts w:ascii="Arial" w:hAnsi="Arial" w:cs="Arial"/>
          <w:bCs/>
          <w:sz w:val="24"/>
        </w:rPr>
        <w:t>las condiciones deficientes del Es</w:t>
      </w:r>
      <w:r w:rsidR="008D061B">
        <w:rPr>
          <w:rFonts w:ascii="Arial" w:hAnsi="Arial" w:cs="Arial"/>
          <w:bCs/>
          <w:sz w:val="24"/>
        </w:rPr>
        <w:t xml:space="preserve">tado Constitucional de Derecho de nuestro país, aludiendo que México se encuentra en los últimos lugares del ranking global del Índice de Estado de Derecho realizado por </w:t>
      </w:r>
      <w:proofErr w:type="spellStart"/>
      <w:r w:rsidR="008D061B" w:rsidRPr="00B60F3D">
        <w:rPr>
          <w:rFonts w:ascii="Arial" w:hAnsi="Arial" w:cs="Arial"/>
          <w:bCs/>
          <w:i/>
          <w:sz w:val="24"/>
        </w:rPr>
        <w:t>World</w:t>
      </w:r>
      <w:proofErr w:type="spellEnd"/>
      <w:r w:rsidR="008D061B" w:rsidRPr="00B60F3D">
        <w:rPr>
          <w:rFonts w:ascii="Arial" w:hAnsi="Arial" w:cs="Arial"/>
          <w:bCs/>
          <w:i/>
          <w:sz w:val="24"/>
        </w:rPr>
        <w:t xml:space="preserve"> </w:t>
      </w:r>
      <w:proofErr w:type="spellStart"/>
      <w:r w:rsidR="008D061B" w:rsidRPr="00B60F3D">
        <w:rPr>
          <w:rFonts w:ascii="Arial" w:hAnsi="Arial" w:cs="Arial"/>
          <w:bCs/>
          <w:i/>
          <w:sz w:val="24"/>
        </w:rPr>
        <w:t>Justice</w:t>
      </w:r>
      <w:proofErr w:type="spellEnd"/>
      <w:r w:rsidR="008D061B" w:rsidRPr="00B60F3D">
        <w:rPr>
          <w:rFonts w:ascii="Arial" w:hAnsi="Arial" w:cs="Arial"/>
          <w:bCs/>
          <w:i/>
          <w:sz w:val="24"/>
        </w:rPr>
        <w:t xml:space="preserve"> Project</w:t>
      </w:r>
      <w:r w:rsidR="008D061B">
        <w:rPr>
          <w:rFonts w:ascii="Arial" w:hAnsi="Arial" w:cs="Arial"/>
          <w:bCs/>
          <w:sz w:val="24"/>
        </w:rPr>
        <w:t>: En el lugar 104 de 128.</w:t>
      </w:r>
    </w:p>
    <w:p w14:paraId="380B18B2" w14:textId="77777777" w:rsidR="008D061B" w:rsidRPr="00B60F3D" w:rsidRDefault="009525CD" w:rsidP="008D061B">
      <w:pPr>
        <w:pStyle w:val="Sangradetextonormal"/>
        <w:spacing w:line="276" w:lineRule="auto"/>
        <w:ind w:firstLine="0"/>
        <w:rPr>
          <w:rFonts w:ascii="Arial" w:hAnsi="Arial" w:cs="Arial"/>
          <w:bCs/>
          <w:sz w:val="24"/>
        </w:rPr>
      </w:pPr>
      <w:hyperlink r:id="rId41" w:history="1">
        <w:r w:rsidR="008D061B" w:rsidRPr="00B60F3D">
          <w:rPr>
            <w:rStyle w:val="Hipervnculo"/>
            <w:rFonts w:ascii="Arial" w:hAnsi="Arial" w:cs="Arial"/>
            <w:bCs/>
            <w:sz w:val="22"/>
          </w:rPr>
          <w:t>https://worldjusticeproject.org/sites/default/files/documents/WJP-Global-ROLI-Spanish.pdf</w:t>
        </w:r>
      </w:hyperlink>
    </w:p>
    <w:p w14:paraId="6C48D4FE" w14:textId="77777777" w:rsidR="008D061B" w:rsidRDefault="008D061B" w:rsidP="00936E44">
      <w:pPr>
        <w:spacing w:before="240"/>
        <w:ind w:right="49"/>
        <w:jc w:val="both"/>
        <w:rPr>
          <w:rFonts w:ascii="Arial" w:hAnsi="Arial" w:cs="Arial"/>
          <w:b/>
        </w:rPr>
      </w:pPr>
      <w:r>
        <w:rPr>
          <w:noProof/>
        </w:rPr>
        <w:drawing>
          <wp:inline distT="0" distB="0" distL="0" distR="0" wp14:anchorId="3373F188" wp14:editId="3698D2C6">
            <wp:extent cx="5361454" cy="33840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13398" t="14371" r="17704" b="8284"/>
                    <a:stretch/>
                  </pic:blipFill>
                  <pic:spPr bwMode="auto">
                    <a:xfrm>
                      <a:off x="0" y="0"/>
                      <a:ext cx="5361454" cy="3384000"/>
                    </a:xfrm>
                    <a:prstGeom prst="rect">
                      <a:avLst/>
                    </a:prstGeom>
                    <a:ln>
                      <a:noFill/>
                    </a:ln>
                    <a:extLst>
                      <a:ext uri="{53640926-AAD7-44D8-BBD7-CCE9431645EC}">
                        <a14:shadowObscured xmlns:a14="http://schemas.microsoft.com/office/drawing/2010/main"/>
                      </a:ext>
                    </a:extLst>
                  </pic:spPr>
                </pic:pic>
              </a:graphicData>
            </a:graphic>
          </wp:inline>
        </w:drawing>
      </w:r>
    </w:p>
    <w:p w14:paraId="529FE98F" w14:textId="31E8FCB1" w:rsidR="009D3D95" w:rsidRPr="009D3D95" w:rsidRDefault="009D3D95" w:rsidP="00936E44">
      <w:pPr>
        <w:spacing w:before="240"/>
        <w:ind w:right="49"/>
        <w:jc w:val="both"/>
        <w:rPr>
          <w:rFonts w:ascii="Arial" w:hAnsi="Arial" w:cs="Arial"/>
          <w:sz w:val="24"/>
        </w:rPr>
      </w:pPr>
      <w:r w:rsidRPr="009D3D95">
        <w:rPr>
          <w:rFonts w:ascii="Arial" w:hAnsi="Arial" w:cs="Arial"/>
          <w:sz w:val="24"/>
        </w:rPr>
        <w:t>Por tales motivos, debe declararse inconstitucional la norma general, toda vez que no cumple con la evaluación que le ordena la Ley Fundamental.</w:t>
      </w:r>
    </w:p>
    <w:p w14:paraId="34BC2F80" w14:textId="6B42E218" w:rsidR="00936E44" w:rsidRDefault="00F62DDA" w:rsidP="00936E44">
      <w:pPr>
        <w:spacing w:before="240"/>
        <w:ind w:right="49"/>
        <w:jc w:val="both"/>
        <w:rPr>
          <w:rFonts w:ascii="Arial" w:hAnsi="Arial" w:cs="Arial"/>
          <w:b/>
          <w:sz w:val="24"/>
          <w:szCs w:val="24"/>
        </w:rPr>
      </w:pPr>
      <w:r>
        <w:rPr>
          <w:rFonts w:ascii="Arial" w:hAnsi="Arial" w:cs="Arial"/>
          <w:b/>
        </w:rPr>
        <w:t>CUARTO. En cuanto al significado de seguridad pública y el respeto a los derechos humanos.</w:t>
      </w:r>
      <w:r w:rsidR="00936E44">
        <w:rPr>
          <w:rFonts w:ascii="Arial" w:hAnsi="Arial" w:cs="Arial"/>
          <w:b/>
        </w:rPr>
        <w:t xml:space="preserve"> </w:t>
      </w:r>
      <w:r w:rsidR="00936E44" w:rsidRPr="00E321AC">
        <w:rPr>
          <w:rFonts w:ascii="Arial" w:hAnsi="Arial" w:cs="Arial"/>
          <w:bCs/>
          <w:sz w:val="24"/>
          <w:szCs w:val="24"/>
        </w:rPr>
        <w:t xml:space="preserve">Las normas generales reclamadas transgreden en nuestro perjuicio el artículo </w:t>
      </w:r>
      <w:r w:rsidR="00936E44" w:rsidRPr="00E321AC">
        <w:rPr>
          <w:rFonts w:ascii="Arial" w:hAnsi="Arial" w:cs="Arial"/>
          <w:b/>
          <w:sz w:val="24"/>
          <w:szCs w:val="24"/>
        </w:rPr>
        <w:t>21</w:t>
      </w:r>
      <w:r w:rsidR="00936E44">
        <w:rPr>
          <w:rFonts w:ascii="Arial" w:hAnsi="Arial" w:cs="Arial"/>
          <w:sz w:val="24"/>
          <w:szCs w:val="24"/>
        </w:rPr>
        <w:t xml:space="preserve"> </w:t>
      </w:r>
      <w:r w:rsidR="00936E44" w:rsidRPr="00E321AC">
        <w:rPr>
          <w:rFonts w:ascii="Arial" w:hAnsi="Arial" w:cs="Arial"/>
          <w:sz w:val="24"/>
          <w:szCs w:val="24"/>
        </w:rPr>
        <w:t xml:space="preserve">de la Constitución Política </w:t>
      </w:r>
      <w:r w:rsidR="00936E44">
        <w:rPr>
          <w:rFonts w:ascii="Arial" w:hAnsi="Arial" w:cs="Arial"/>
          <w:sz w:val="24"/>
          <w:szCs w:val="24"/>
        </w:rPr>
        <w:t>de los Estados Unidos Mexicanos, en especial el párrafo noveno y décimo octavo,</w:t>
      </w:r>
      <w:r w:rsidR="009D3D95">
        <w:rPr>
          <w:rFonts w:ascii="Arial" w:hAnsi="Arial" w:cs="Arial"/>
          <w:sz w:val="24"/>
          <w:szCs w:val="24"/>
        </w:rPr>
        <w:t xml:space="preserve"> en relación con los artículos </w:t>
      </w:r>
      <w:r w:rsidR="009D3D95" w:rsidRPr="007B077D">
        <w:rPr>
          <w:rFonts w:ascii="Arial" w:hAnsi="Arial" w:cs="Arial"/>
          <w:sz w:val="24"/>
          <w:szCs w:val="24"/>
          <w:shd w:val="clear" w:color="auto" w:fill="FFFFFF"/>
        </w:rPr>
        <w:t xml:space="preserve">1, 6, 7, 8, 9 y </w:t>
      </w:r>
      <w:proofErr w:type="gramStart"/>
      <w:r w:rsidR="009D3D95" w:rsidRPr="007B077D">
        <w:rPr>
          <w:rFonts w:ascii="Arial" w:hAnsi="Arial" w:cs="Arial"/>
          <w:sz w:val="24"/>
          <w:szCs w:val="24"/>
          <w:shd w:val="clear" w:color="auto" w:fill="FFFFFF"/>
        </w:rPr>
        <w:t xml:space="preserve">11 </w:t>
      </w:r>
      <w:r w:rsidR="00936E44">
        <w:rPr>
          <w:rFonts w:ascii="Arial" w:hAnsi="Arial" w:cs="Arial"/>
          <w:sz w:val="24"/>
          <w:szCs w:val="24"/>
        </w:rPr>
        <w:t xml:space="preserve"> </w:t>
      </w:r>
      <w:r w:rsidR="009D3D95">
        <w:rPr>
          <w:rFonts w:ascii="Arial" w:hAnsi="Arial" w:cs="Arial"/>
          <w:sz w:val="24"/>
          <w:szCs w:val="24"/>
        </w:rPr>
        <w:t>de</w:t>
      </w:r>
      <w:proofErr w:type="gramEnd"/>
      <w:r w:rsidR="009D3D95">
        <w:rPr>
          <w:rFonts w:ascii="Arial" w:hAnsi="Arial" w:cs="Arial"/>
          <w:sz w:val="24"/>
          <w:szCs w:val="24"/>
        </w:rPr>
        <w:t xml:space="preserve"> la Máxima Ley, </w:t>
      </w:r>
      <w:r w:rsidR="00936E44">
        <w:rPr>
          <w:rFonts w:ascii="Arial" w:hAnsi="Arial" w:cs="Arial"/>
          <w:sz w:val="24"/>
          <w:szCs w:val="24"/>
        </w:rPr>
        <w:t>como se demostrará a continuación:</w:t>
      </w:r>
    </w:p>
    <w:p w14:paraId="294C7C0D" w14:textId="77777777" w:rsidR="00936E44" w:rsidRDefault="00936E44" w:rsidP="00936E44">
      <w:pPr>
        <w:spacing w:before="240"/>
        <w:ind w:left="708" w:right="49"/>
        <w:jc w:val="both"/>
        <w:rPr>
          <w:rFonts w:ascii="Arial" w:hAnsi="Arial" w:cs="Arial"/>
          <w:i/>
        </w:rPr>
      </w:pPr>
      <w:r w:rsidRPr="006C3FF3">
        <w:rPr>
          <w:rFonts w:ascii="Arial" w:hAnsi="Arial" w:cs="Arial"/>
          <w:b/>
          <w:i/>
        </w:rPr>
        <w:t>Artículo 21</w:t>
      </w:r>
      <w:r w:rsidRPr="006C3FF3">
        <w:rPr>
          <w:rFonts w:ascii="Arial" w:hAnsi="Arial" w:cs="Arial"/>
          <w:i/>
        </w:rPr>
        <w:t>.</w:t>
      </w:r>
      <w:r>
        <w:rPr>
          <w:rFonts w:ascii="Arial" w:hAnsi="Arial" w:cs="Arial"/>
          <w:i/>
        </w:rPr>
        <w:t xml:space="preserve"> </w:t>
      </w:r>
    </w:p>
    <w:p w14:paraId="763FB651" w14:textId="77777777" w:rsidR="00936E44" w:rsidRPr="00E321AC" w:rsidRDefault="00936E44" w:rsidP="00936E44">
      <w:pPr>
        <w:spacing w:before="240"/>
        <w:ind w:left="708" w:right="49"/>
        <w:jc w:val="both"/>
        <w:rPr>
          <w:rFonts w:ascii="Arial" w:hAnsi="Arial" w:cs="Arial"/>
          <w:i/>
        </w:rPr>
      </w:pPr>
      <w:r>
        <w:rPr>
          <w:rFonts w:ascii="Arial" w:hAnsi="Arial" w:cs="Arial"/>
          <w:i/>
        </w:rPr>
        <w:t>[…] (Párrafo noveno)</w:t>
      </w:r>
    </w:p>
    <w:p w14:paraId="05423917" w14:textId="77777777" w:rsidR="00936E44" w:rsidRDefault="00936E44" w:rsidP="00936E44">
      <w:pPr>
        <w:ind w:left="708"/>
        <w:jc w:val="both"/>
        <w:rPr>
          <w:rFonts w:ascii="Arial" w:hAnsi="Arial" w:cs="Arial"/>
          <w:i/>
        </w:rPr>
      </w:pPr>
      <w:r w:rsidRPr="0039625E">
        <w:rPr>
          <w:rFonts w:ascii="Arial" w:hAnsi="Arial" w:cs="Arial"/>
          <w:b/>
          <w:i/>
        </w:rPr>
        <w:t>La seguridad pública es una función del Estado a cargo de la Federación, las entidades federativas y los Municipios,</w:t>
      </w:r>
      <w:r w:rsidRPr="00E321AC">
        <w:rPr>
          <w:rFonts w:ascii="Arial" w:hAnsi="Arial" w:cs="Arial"/>
          <w:i/>
        </w:rPr>
        <w:t xml:space="preserve"> </w:t>
      </w:r>
      <w:r w:rsidRPr="0039625E">
        <w:rPr>
          <w:rFonts w:ascii="Arial" w:hAnsi="Arial" w:cs="Arial"/>
          <w:b/>
          <w:i/>
        </w:rPr>
        <w:t xml:space="preserve">cuyos fines </w:t>
      </w:r>
      <w:r w:rsidRPr="0039625E">
        <w:rPr>
          <w:rFonts w:ascii="Arial" w:hAnsi="Arial" w:cs="Arial"/>
          <w:b/>
          <w:i/>
          <w:u w:val="single"/>
        </w:rPr>
        <w:t>son salvaguardar la vida, las libertades, la integridad y el patrimonio de las personas</w:t>
      </w:r>
      <w:r w:rsidRPr="0039625E">
        <w:rPr>
          <w:rFonts w:ascii="Arial" w:hAnsi="Arial" w:cs="Arial"/>
          <w:b/>
          <w:i/>
        </w:rPr>
        <w:t>, así como contribuir a la generación y preservación del orden público y la paz social, de conformidad con lo previsto en esta Constitución y las leyes en la materia</w:t>
      </w:r>
      <w:r w:rsidRPr="00E321AC">
        <w:rPr>
          <w:rFonts w:ascii="Arial" w:hAnsi="Arial" w:cs="Arial"/>
          <w:i/>
        </w:rPr>
        <w:t xml:space="preserve">. La seguridad pública comprende la prevención, investigación y persecución de los delitos, así como la sanción de las infracciones administrativas, en los términos de la ley, en las respectivas competencias que esta Constitución señala. </w:t>
      </w:r>
      <w:r w:rsidRPr="00E321AC">
        <w:rPr>
          <w:rFonts w:ascii="Arial" w:hAnsi="Arial" w:cs="Arial"/>
          <w:b/>
          <w:i/>
        </w:rPr>
        <w:t>La actuación de las instituciones de seguridad pública se regirá por los principios de legalidad, objetividad, eficiencia, profesionalismo, honradez y respeto a los derechos humanos reconocidos en esta Constitución.</w:t>
      </w:r>
      <w:r w:rsidRPr="00E321AC">
        <w:rPr>
          <w:rFonts w:ascii="Arial" w:hAnsi="Arial" w:cs="Arial"/>
          <w:i/>
        </w:rPr>
        <w:t xml:space="preserve"> </w:t>
      </w:r>
    </w:p>
    <w:p w14:paraId="5894DDFA" w14:textId="77777777" w:rsidR="00936E44" w:rsidRDefault="00936E44" w:rsidP="00936E44">
      <w:pPr>
        <w:spacing w:before="240"/>
        <w:ind w:left="708" w:right="49"/>
        <w:jc w:val="both"/>
        <w:rPr>
          <w:rFonts w:ascii="Arial" w:hAnsi="Arial" w:cs="Arial"/>
          <w:i/>
        </w:rPr>
      </w:pPr>
      <w:r>
        <w:rPr>
          <w:rFonts w:ascii="Arial" w:hAnsi="Arial" w:cs="Arial"/>
          <w:i/>
        </w:rPr>
        <w:t>[…] (Párrafo décimo octavo)</w:t>
      </w:r>
    </w:p>
    <w:p w14:paraId="6214A99E" w14:textId="77777777" w:rsidR="00936E44" w:rsidRDefault="00936E44" w:rsidP="00936E44">
      <w:pPr>
        <w:ind w:left="708"/>
        <w:jc w:val="both"/>
        <w:rPr>
          <w:rFonts w:ascii="Arial" w:hAnsi="Arial" w:cs="Arial"/>
          <w:i/>
        </w:rPr>
      </w:pPr>
      <w:r w:rsidRPr="00E321AC">
        <w:rPr>
          <w:rFonts w:ascii="Arial" w:hAnsi="Arial" w:cs="Arial"/>
          <w:i/>
        </w:rPr>
        <w:t xml:space="preserve">La formación y el desempeño de los integrantes de la Guardia Nacional y de las demás instituciones policiales se regirán por una doctrina policial fundada en el servicio a la sociedad, la disciplina, </w:t>
      </w:r>
      <w:r w:rsidRPr="00E321AC">
        <w:rPr>
          <w:rFonts w:ascii="Arial" w:hAnsi="Arial" w:cs="Arial"/>
          <w:b/>
          <w:i/>
          <w:u w:val="single"/>
        </w:rPr>
        <w:t>el respeto a los derechos humanos</w:t>
      </w:r>
      <w:r w:rsidRPr="00E321AC">
        <w:rPr>
          <w:rFonts w:ascii="Arial" w:hAnsi="Arial" w:cs="Arial"/>
          <w:i/>
        </w:rPr>
        <w:t xml:space="preserve">, </w:t>
      </w:r>
      <w:r w:rsidRPr="00E321AC">
        <w:rPr>
          <w:rFonts w:ascii="Arial" w:hAnsi="Arial" w:cs="Arial"/>
          <w:b/>
          <w:i/>
          <w:u w:val="single"/>
        </w:rPr>
        <w:t>al imperio de la ley</w:t>
      </w:r>
      <w:r w:rsidRPr="00E321AC">
        <w:rPr>
          <w:rFonts w:ascii="Arial" w:hAnsi="Arial" w:cs="Arial"/>
          <w:i/>
        </w:rPr>
        <w:t>, al mando superior, y en lo conducente a la perspectiva de género.”</w:t>
      </w:r>
      <w:r>
        <w:rPr>
          <w:rFonts w:ascii="Arial" w:hAnsi="Arial" w:cs="Arial"/>
          <w:i/>
        </w:rPr>
        <w:t>[…]</w:t>
      </w:r>
    </w:p>
    <w:p w14:paraId="7CFD397D" w14:textId="4D2370D7" w:rsidR="009F1D39" w:rsidRPr="007B077D" w:rsidRDefault="009F1D39" w:rsidP="009F1D39">
      <w:pPr>
        <w:pStyle w:val="Prrafodelista"/>
        <w:spacing w:after="0" w:line="257" w:lineRule="auto"/>
        <w:ind w:left="0"/>
        <w:jc w:val="both"/>
        <w:rPr>
          <w:rFonts w:ascii="Arial" w:hAnsi="Arial" w:cs="Arial"/>
          <w:sz w:val="24"/>
          <w:szCs w:val="24"/>
          <w:shd w:val="clear" w:color="auto" w:fill="FFFFFF"/>
        </w:rPr>
      </w:pPr>
      <w:r w:rsidRPr="007B077D">
        <w:rPr>
          <w:rFonts w:ascii="Arial" w:hAnsi="Arial" w:cs="Arial"/>
          <w:sz w:val="24"/>
          <w:szCs w:val="24"/>
          <w:shd w:val="clear" w:color="auto" w:fill="FFFFFF"/>
        </w:rPr>
        <w:lastRenderedPageBreak/>
        <w:t>Las autoridades responsables en el acto reclamado no garantizan, ni protegen los derechos humanos, sino que más bien los exponen a un riesgo irreparable e inminente mis derechos humanos de libertad civiles y políticos, como la libertad de reunión, libertad de expresión, libertad de protestar y de manifestación, libertad de tránsito y derecho de petición, en razón de que, como resultado de la negligencia de las responsables en la redacción de dicho acuerdo sin fundar ni motivar, de conformidad con el artículo 14 y 16 de la Constitución Política de los Estados Unidos Mexicanos, pone en riesgo la afectación a mi derechos humanos civiles y políticos contemplados en los artículos 1, 6, 7, 8, 9 y 11 de la Carta Magna. Porque facultan a las Fuerzas Armadas a realizar tareas para las cuales no están entrenados adecuadamente, como las detenciones y retenes.</w:t>
      </w:r>
    </w:p>
    <w:p w14:paraId="19936141" w14:textId="77777777" w:rsidR="009F1D39" w:rsidRPr="007B077D" w:rsidRDefault="009F1D39" w:rsidP="009F1D39">
      <w:pPr>
        <w:pStyle w:val="Prrafodelista"/>
        <w:spacing w:after="0" w:line="257" w:lineRule="auto"/>
        <w:ind w:left="0"/>
        <w:jc w:val="both"/>
        <w:rPr>
          <w:rFonts w:ascii="Arial" w:hAnsi="Arial" w:cs="Arial"/>
          <w:sz w:val="24"/>
          <w:szCs w:val="24"/>
          <w:shd w:val="clear" w:color="auto" w:fill="FFFFFF"/>
        </w:rPr>
      </w:pPr>
      <w:r w:rsidRPr="007B077D">
        <w:rPr>
          <w:rFonts w:ascii="Arial" w:hAnsi="Arial" w:cs="Arial"/>
          <w:sz w:val="24"/>
          <w:szCs w:val="24"/>
          <w:shd w:val="clear" w:color="auto" w:fill="FFFFFF"/>
        </w:rPr>
        <w:t xml:space="preserve"> </w:t>
      </w:r>
    </w:p>
    <w:p w14:paraId="4606C35E" w14:textId="77777777" w:rsidR="009F1D39" w:rsidRPr="0045044F" w:rsidRDefault="009F1D39" w:rsidP="009F1D39">
      <w:pPr>
        <w:pStyle w:val="Prrafodelista"/>
        <w:spacing w:after="0" w:line="257" w:lineRule="auto"/>
        <w:ind w:left="0"/>
        <w:jc w:val="both"/>
        <w:rPr>
          <w:rFonts w:ascii="Arial" w:hAnsi="Arial" w:cs="Arial"/>
          <w:sz w:val="24"/>
          <w:szCs w:val="24"/>
          <w:shd w:val="clear" w:color="auto" w:fill="FFFFFF"/>
        </w:rPr>
      </w:pPr>
      <w:r>
        <w:rPr>
          <w:rFonts w:ascii="Arial" w:hAnsi="Arial" w:cs="Arial"/>
          <w:color w:val="333333"/>
          <w:sz w:val="24"/>
          <w:szCs w:val="24"/>
          <w:shd w:val="clear" w:color="auto" w:fill="FFFFFF"/>
        </w:rPr>
        <w:tab/>
      </w:r>
      <w:r w:rsidRPr="0045044F">
        <w:rPr>
          <w:rFonts w:ascii="Arial" w:hAnsi="Arial" w:cs="Arial"/>
          <w:sz w:val="24"/>
          <w:szCs w:val="24"/>
          <w:shd w:val="clear" w:color="auto" w:fill="FFFFFF"/>
        </w:rPr>
        <w:t xml:space="preserve">En ese sentido, las autoridades responsables están obligadas conforme al 1 Constitucional a proteger los derechos humanos de libertad, civiles y políticos. Pero parece que a las responsables no les queda claro que todos los mexicanos gozaremos de los derechos humanos reconocidos en esta Constitución y en los Tratados Internacionales de los que el Estado Mexicano sea parte. Es decir, el Estado Mexicano está ignorando las múltiples sentencias dictadas por la Corte Interamericana de Derechos Humanos, y no está garantizando la no repetición de actos similares a los arbitrarios por los que ha sido condenado; el Presidente debe entender que se debe evitar la participación de las fuerzas armadas en funciones de seguridad pública, ya suficiente daño ha hecho el ejército al involucrarse en el combate al narco, por los excesos cometidos en ese tema, no es recomendable recurrir a ellos, porque implicaría riesgos indeseables de exacerbar la violencia, incrementando la violación de derechos humanos, lo anterior en opinión de tres expertos en Seguridad Publica, consultados por Expansión Política: María Elena Morera, Alejandro Madrazo </w:t>
      </w:r>
      <w:proofErr w:type="spellStart"/>
      <w:r w:rsidRPr="0045044F">
        <w:rPr>
          <w:rFonts w:ascii="Arial" w:hAnsi="Arial" w:cs="Arial"/>
          <w:sz w:val="24"/>
          <w:szCs w:val="24"/>
          <w:shd w:val="clear" w:color="auto" w:fill="FFFFFF"/>
        </w:rPr>
        <w:t>Lajous</w:t>
      </w:r>
      <w:proofErr w:type="spellEnd"/>
      <w:r w:rsidRPr="0045044F">
        <w:rPr>
          <w:rFonts w:ascii="Arial" w:hAnsi="Arial" w:cs="Arial"/>
          <w:sz w:val="24"/>
          <w:szCs w:val="24"/>
          <w:shd w:val="clear" w:color="auto" w:fill="FFFFFF"/>
        </w:rPr>
        <w:t xml:space="preserve"> y Miguel Garza, lo que fue publicado el 12 de mayo de 2020 </w:t>
      </w:r>
      <w:r w:rsidRPr="0045044F">
        <w:rPr>
          <w:rFonts w:ascii="Arial" w:hAnsi="Arial" w:cs="Arial"/>
          <w:i/>
          <w:sz w:val="24"/>
          <w:szCs w:val="24"/>
          <w:shd w:val="clear" w:color="auto" w:fill="FFFFFF"/>
        </w:rPr>
        <w:t>en internet</w:t>
      </w:r>
      <w:r w:rsidRPr="0045044F">
        <w:rPr>
          <w:rStyle w:val="Refdenotaalpie"/>
          <w:rFonts w:ascii="Arial" w:hAnsi="Arial" w:cs="Arial"/>
          <w:i/>
          <w:sz w:val="24"/>
          <w:szCs w:val="24"/>
          <w:shd w:val="clear" w:color="auto" w:fill="FFFFFF"/>
        </w:rPr>
        <w:footnoteReference w:id="44"/>
      </w:r>
      <w:r w:rsidRPr="0045044F">
        <w:rPr>
          <w:rFonts w:ascii="Arial" w:hAnsi="Arial" w:cs="Arial"/>
          <w:sz w:val="24"/>
          <w:szCs w:val="24"/>
          <w:shd w:val="clear" w:color="auto" w:fill="FFFFFF"/>
        </w:rPr>
        <w:t>.        .</w:t>
      </w:r>
    </w:p>
    <w:p w14:paraId="0C81D54D" w14:textId="77777777" w:rsidR="009F1D39" w:rsidRPr="0045044F" w:rsidRDefault="009F1D39" w:rsidP="009F1D39">
      <w:pPr>
        <w:pStyle w:val="Prrafodelista"/>
        <w:spacing w:after="0" w:line="257" w:lineRule="auto"/>
        <w:ind w:left="0"/>
        <w:jc w:val="both"/>
        <w:rPr>
          <w:rFonts w:ascii="Arial" w:hAnsi="Arial" w:cs="Arial"/>
          <w:sz w:val="24"/>
          <w:szCs w:val="24"/>
          <w:shd w:val="clear" w:color="auto" w:fill="FFFFFF"/>
        </w:rPr>
      </w:pPr>
    </w:p>
    <w:p w14:paraId="6BE0B0E1" w14:textId="49A5FCDA" w:rsidR="009F1D39" w:rsidRPr="0045044F" w:rsidRDefault="009F1D39" w:rsidP="009F1D39">
      <w:pPr>
        <w:pStyle w:val="Prrafodelista"/>
        <w:spacing w:after="0" w:line="257" w:lineRule="auto"/>
        <w:ind w:left="0"/>
        <w:jc w:val="both"/>
        <w:rPr>
          <w:rFonts w:ascii="Arial" w:hAnsi="Arial" w:cs="Arial"/>
          <w:sz w:val="24"/>
          <w:szCs w:val="24"/>
          <w:shd w:val="clear" w:color="auto" w:fill="FFFFFF"/>
        </w:rPr>
      </w:pPr>
      <w:r w:rsidRPr="0045044F">
        <w:rPr>
          <w:rFonts w:ascii="Arial" w:hAnsi="Arial" w:cs="Arial"/>
          <w:sz w:val="24"/>
          <w:szCs w:val="24"/>
          <w:shd w:val="clear" w:color="auto" w:fill="FFFFFF"/>
        </w:rPr>
        <w:tab/>
        <w:t xml:space="preserve">Más aún, la suscrita parte quejosa, como </w:t>
      </w:r>
      <w:r>
        <w:rPr>
          <w:rFonts w:ascii="Arial" w:hAnsi="Arial" w:cs="Arial"/>
          <w:sz w:val="24"/>
          <w:szCs w:val="24"/>
          <w:shd w:val="clear" w:color="auto" w:fill="FFFFFF"/>
        </w:rPr>
        <w:t>defensor de derechos humanos</w:t>
      </w:r>
      <w:r w:rsidRPr="0045044F">
        <w:rPr>
          <w:rFonts w:ascii="Arial" w:hAnsi="Arial" w:cs="Arial"/>
          <w:sz w:val="24"/>
          <w:szCs w:val="24"/>
          <w:shd w:val="clear" w:color="auto" w:fill="FFFFFF"/>
        </w:rPr>
        <w:t xml:space="preserve"> que realizo acciones ejerciendo pacíficamente mis derechos humanos de manifestación de ideas, solicito información pública a través del Instituto Nacional de Transparencia y Acceso a la Información Pública, difundo opiniones, información e ideas por varios medios, presento peticiones en dependencias públicas municipales, estatales y federales, me reúno pacíficamente con otros mexicanos para tomar parte en los asuntos políticos del país, me desplazo libremente por la república, interpongo denuncias, quejas y juicios de amparo contra los actos de servidores públicos que violan derechos humanos. Considero que ante la arbitrariedad e imprudencia del presidente de la república y de los elementos castrenses</w:t>
      </w:r>
      <w:r>
        <w:rPr>
          <w:rFonts w:ascii="Arial" w:hAnsi="Arial" w:cs="Arial"/>
          <w:sz w:val="24"/>
          <w:szCs w:val="24"/>
          <w:shd w:val="clear" w:color="auto" w:fill="FFFFFF"/>
        </w:rPr>
        <w:t xml:space="preserve"> y de la Guardia Nacional</w:t>
      </w:r>
      <w:r w:rsidRPr="0045044F">
        <w:rPr>
          <w:rFonts w:ascii="Arial" w:hAnsi="Arial" w:cs="Arial"/>
          <w:sz w:val="24"/>
          <w:szCs w:val="24"/>
          <w:shd w:val="clear" w:color="auto" w:fill="FFFFFF"/>
        </w:rPr>
        <w:t xml:space="preserve"> puedo sufrir un riesgo irreparable a mi vida, integridad física, libertad y seguridad personal derivado del acuerdo presidencias que se combate con este amparo. Derechos que se encuentran protegidos por la Convención Americana Sobre Derechos Humanos:</w:t>
      </w:r>
    </w:p>
    <w:p w14:paraId="25EE93A3" w14:textId="77777777" w:rsidR="009F1D39" w:rsidRPr="0045044F" w:rsidRDefault="009F1D39" w:rsidP="009F1D39">
      <w:pPr>
        <w:pStyle w:val="Prrafodelista"/>
        <w:spacing w:after="0" w:line="257" w:lineRule="auto"/>
        <w:ind w:left="1065"/>
        <w:jc w:val="both"/>
        <w:rPr>
          <w:rFonts w:ascii="Arial" w:hAnsi="Arial" w:cs="Arial"/>
          <w:b/>
          <w:bCs/>
          <w:i/>
          <w:iCs/>
          <w:sz w:val="20"/>
          <w:szCs w:val="20"/>
          <w:shd w:val="clear" w:color="auto" w:fill="FFFFFF"/>
        </w:rPr>
      </w:pPr>
    </w:p>
    <w:p w14:paraId="4CA29D45" w14:textId="77777777" w:rsidR="009F1D39" w:rsidRPr="0045044F" w:rsidRDefault="009F1D39" w:rsidP="009F1D39">
      <w:pPr>
        <w:spacing w:after="0"/>
        <w:jc w:val="both"/>
        <w:rPr>
          <w:rFonts w:ascii="Arial" w:hAnsi="Arial" w:cs="Arial"/>
          <w:i/>
          <w:iCs/>
          <w:sz w:val="20"/>
          <w:szCs w:val="20"/>
        </w:rPr>
      </w:pPr>
      <w:r w:rsidRPr="0045044F">
        <w:rPr>
          <w:rFonts w:ascii="Arial" w:hAnsi="Arial" w:cs="Arial"/>
          <w:i/>
          <w:iCs/>
          <w:sz w:val="20"/>
          <w:szCs w:val="20"/>
        </w:rPr>
        <w:t>[…] Artículo 4. Derecho a la Vida. “1. Toda persona tiene derecho a que se respete su vida. Este derecho estará protegido por la ley y, en general, a partir del momento de la concepción. Nadie puede ser privado de la vida arbitrariamente […]</w:t>
      </w:r>
    </w:p>
    <w:p w14:paraId="15783DBB" w14:textId="77777777" w:rsidR="009F1D39" w:rsidRPr="0045044F" w:rsidRDefault="009F1D39" w:rsidP="009F1D39">
      <w:pPr>
        <w:spacing w:after="0"/>
        <w:jc w:val="both"/>
        <w:rPr>
          <w:rFonts w:ascii="Arial" w:hAnsi="Arial" w:cs="Arial"/>
          <w:i/>
          <w:iCs/>
          <w:sz w:val="20"/>
          <w:szCs w:val="20"/>
        </w:rPr>
      </w:pPr>
    </w:p>
    <w:p w14:paraId="40E4E45C" w14:textId="77777777" w:rsidR="009F1D39" w:rsidRPr="0045044F" w:rsidRDefault="009F1D39" w:rsidP="009F1D39">
      <w:pPr>
        <w:spacing w:after="0"/>
        <w:jc w:val="both"/>
        <w:rPr>
          <w:rFonts w:ascii="Arial" w:hAnsi="Arial" w:cs="Arial"/>
          <w:i/>
          <w:iCs/>
          <w:sz w:val="20"/>
          <w:szCs w:val="20"/>
        </w:rPr>
      </w:pPr>
      <w:r w:rsidRPr="0045044F">
        <w:rPr>
          <w:rFonts w:ascii="Arial" w:hAnsi="Arial" w:cs="Arial"/>
          <w:i/>
          <w:iCs/>
          <w:sz w:val="20"/>
          <w:szCs w:val="20"/>
        </w:rPr>
        <w:t>[…] Artículo 5. Derecho a la Integridad Personal. “1. Toda persona tiene derecho a que se respete su integridad física, psíquica y moral. 2. Nadie debe ser sometido a torturas ni a penas o tratos crueles, inhumanos o degradantes. Toda persona privada de libertad será tratada con el respeto debido a la dignidad inherente al ser humano. […]</w:t>
      </w:r>
    </w:p>
    <w:p w14:paraId="28196475" w14:textId="77777777" w:rsidR="009F1D39" w:rsidRPr="0045044F" w:rsidRDefault="009F1D39" w:rsidP="009F1D39">
      <w:pPr>
        <w:spacing w:after="0"/>
        <w:jc w:val="both"/>
        <w:rPr>
          <w:rFonts w:ascii="Arial" w:hAnsi="Arial" w:cs="Arial"/>
          <w:i/>
          <w:iCs/>
          <w:sz w:val="20"/>
          <w:szCs w:val="20"/>
        </w:rPr>
      </w:pPr>
    </w:p>
    <w:p w14:paraId="712F9778" w14:textId="77777777" w:rsidR="009F1D39" w:rsidRPr="0045044F" w:rsidRDefault="009F1D39" w:rsidP="009F1D39">
      <w:pPr>
        <w:spacing w:after="0"/>
        <w:jc w:val="both"/>
        <w:rPr>
          <w:rFonts w:ascii="Arial" w:hAnsi="Arial" w:cs="Arial"/>
          <w:i/>
          <w:iCs/>
          <w:sz w:val="20"/>
          <w:szCs w:val="20"/>
        </w:rPr>
      </w:pPr>
      <w:r w:rsidRPr="0045044F">
        <w:rPr>
          <w:rFonts w:ascii="Arial" w:hAnsi="Arial" w:cs="Arial"/>
          <w:i/>
          <w:iCs/>
          <w:sz w:val="20"/>
          <w:szCs w:val="20"/>
        </w:rPr>
        <w:t>[…] Artículo 7. Derecho a la Libertad Personal. “1. Toda persona tiene derecho a la libertad y a la seguridad personal. 2. Nadie puede ser privado de su libertad física, salvo por las causas y en las condiciones fijadas de antemano por las Constituciones Políticas de los Estados Partes o por las leyes dictadas conforme a ellas. 3. Nadie puede ser sometido a detención o encarcelamiento arbitrarios. […]</w:t>
      </w:r>
    </w:p>
    <w:p w14:paraId="49D2D4EC" w14:textId="77777777" w:rsidR="009F1D39" w:rsidRPr="00642FCC" w:rsidRDefault="009F1D39" w:rsidP="009F1D39">
      <w:pPr>
        <w:spacing w:after="0"/>
        <w:jc w:val="both"/>
        <w:rPr>
          <w:rFonts w:ascii="Arial" w:hAnsi="Arial" w:cs="Arial"/>
          <w:i/>
          <w:iCs/>
          <w:sz w:val="20"/>
          <w:szCs w:val="20"/>
        </w:rPr>
      </w:pPr>
    </w:p>
    <w:p w14:paraId="383F452A" w14:textId="77777777" w:rsidR="009F1D39" w:rsidRDefault="009F1D39" w:rsidP="009F1D39">
      <w:pPr>
        <w:spacing w:after="0"/>
        <w:jc w:val="both"/>
        <w:rPr>
          <w:rFonts w:ascii="Arial" w:hAnsi="Arial" w:cs="Arial"/>
          <w:i/>
          <w:iCs/>
          <w:sz w:val="20"/>
          <w:szCs w:val="20"/>
        </w:rPr>
      </w:pPr>
      <w:r w:rsidRPr="00642FCC">
        <w:rPr>
          <w:rFonts w:ascii="Arial" w:hAnsi="Arial" w:cs="Arial"/>
          <w:b/>
          <w:bCs/>
          <w:i/>
          <w:iCs/>
          <w:sz w:val="20"/>
          <w:szCs w:val="20"/>
        </w:rPr>
        <w:lastRenderedPageBreak/>
        <w:t>Convención Interamericana sobre Desaparición Forzada de Personas:</w:t>
      </w:r>
      <w:r>
        <w:rPr>
          <w:rFonts w:ascii="Arial" w:hAnsi="Arial" w:cs="Arial"/>
          <w:b/>
          <w:bCs/>
          <w:i/>
          <w:iCs/>
          <w:sz w:val="20"/>
          <w:szCs w:val="20"/>
        </w:rPr>
        <w:t xml:space="preserve"> </w:t>
      </w:r>
      <w:r>
        <w:rPr>
          <w:rFonts w:ascii="Arial" w:hAnsi="Arial" w:cs="Arial"/>
          <w:i/>
          <w:iCs/>
          <w:sz w:val="20"/>
          <w:szCs w:val="20"/>
        </w:rPr>
        <w:t>[…</w:t>
      </w:r>
      <w:proofErr w:type="gramStart"/>
      <w:r>
        <w:rPr>
          <w:rFonts w:ascii="Arial" w:hAnsi="Arial" w:cs="Arial"/>
          <w:i/>
          <w:iCs/>
          <w:sz w:val="20"/>
          <w:szCs w:val="20"/>
        </w:rPr>
        <w:t>]</w:t>
      </w:r>
      <w:r w:rsidRPr="00642FCC">
        <w:rPr>
          <w:rFonts w:ascii="Arial" w:hAnsi="Arial" w:cs="Arial"/>
          <w:i/>
          <w:iCs/>
          <w:sz w:val="20"/>
          <w:szCs w:val="20"/>
        </w:rPr>
        <w:t>Artículo</w:t>
      </w:r>
      <w:proofErr w:type="gramEnd"/>
      <w:r w:rsidRPr="00642FCC">
        <w:rPr>
          <w:rFonts w:ascii="Arial" w:hAnsi="Arial" w:cs="Arial"/>
          <w:i/>
          <w:iCs/>
          <w:sz w:val="20"/>
          <w:szCs w:val="20"/>
        </w:rPr>
        <w:t xml:space="preserve"> I. “Los Estados Parte en esta Convención se comprometen a: a) No practicar, no permitir, ni tolerar la desaparición forzada de personas, ni aun en estado de emergencia, excepción o suspensión de garantías individuales. </w:t>
      </w:r>
      <w:r>
        <w:rPr>
          <w:rFonts w:ascii="Arial" w:hAnsi="Arial" w:cs="Arial"/>
          <w:i/>
          <w:iCs/>
          <w:sz w:val="20"/>
          <w:szCs w:val="20"/>
        </w:rPr>
        <w:t>[…]</w:t>
      </w:r>
    </w:p>
    <w:p w14:paraId="2357CC4C" w14:textId="3AA09A19" w:rsidR="009F1D39" w:rsidRPr="00E24CC4" w:rsidRDefault="009F1D39" w:rsidP="009F1D39">
      <w:pPr>
        <w:spacing w:after="0"/>
        <w:jc w:val="both"/>
        <w:rPr>
          <w:rFonts w:ascii="Arial" w:hAnsi="Arial" w:cs="Arial"/>
          <w:i/>
          <w:iCs/>
          <w:sz w:val="20"/>
          <w:szCs w:val="20"/>
        </w:rPr>
      </w:pPr>
      <w:r>
        <w:rPr>
          <w:rFonts w:ascii="Arial" w:hAnsi="Arial" w:cs="Arial"/>
          <w:sz w:val="24"/>
          <w:szCs w:val="24"/>
        </w:rPr>
        <w:tab/>
      </w:r>
      <w:r w:rsidRPr="005D0967">
        <w:rPr>
          <w:rFonts w:ascii="Arial" w:hAnsi="Arial" w:cs="Arial"/>
          <w:sz w:val="24"/>
          <w:szCs w:val="24"/>
        </w:rPr>
        <w:t>Sirve</w:t>
      </w:r>
      <w:r w:rsidR="00B32F18">
        <w:rPr>
          <w:rFonts w:ascii="Arial" w:hAnsi="Arial" w:cs="Arial"/>
          <w:sz w:val="24"/>
          <w:szCs w:val="24"/>
        </w:rPr>
        <w:t>n</w:t>
      </w:r>
      <w:r w:rsidRPr="005D0967">
        <w:rPr>
          <w:rFonts w:ascii="Arial" w:hAnsi="Arial" w:cs="Arial"/>
          <w:sz w:val="24"/>
          <w:szCs w:val="24"/>
        </w:rPr>
        <w:t xml:space="preserve"> de apoyo a lo anterior, la jurisprudencia </w:t>
      </w:r>
      <w:r w:rsidR="00B32F18">
        <w:rPr>
          <w:rFonts w:ascii="Arial" w:hAnsi="Arial" w:cs="Arial"/>
          <w:sz w:val="24"/>
          <w:szCs w:val="24"/>
        </w:rPr>
        <w:t xml:space="preserve">y tesis </w:t>
      </w:r>
      <w:r w:rsidRPr="005D0967">
        <w:rPr>
          <w:rFonts w:ascii="Arial" w:hAnsi="Arial" w:cs="Arial"/>
          <w:sz w:val="24"/>
          <w:szCs w:val="24"/>
        </w:rPr>
        <w:t>de rubro siguiente:</w:t>
      </w:r>
      <w:r>
        <w:rPr>
          <w:rFonts w:ascii="Arial" w:hAnsi="Arial" w:cs="Arial"/>
          <w:sz w:val="24"/>
          <w:szCs w:val="24"/>
        </w:rPr>
        <w:t xml:space="preserve"> </w:t>
      </w:r>
      <w:r>
        <w:rPr>
          <w:rFonts w:ascii="Arial" w:hAnsi="Arial" w:cs="Arial"/>
          <w:i/>
          <w:iCs/>
          <w:sz w:val="20"/>
          <w:szCs w:val="20"/>
        </w:rPr>
        <w:t>“</w:t>
      </w:r>
      <w:r w:rsidRPr="00E24CC4">
        <w:rPr>
          <w:rFonts w:ascii="Arial" w:hAnsi="Arial" w:cs="Arial"/>
          <w:b/>
          <w:bCs/>
          <w:i/>
          <w:iCs/>
          <w:sz w:val="20"/>
          <w:szCs w:val="20"/>
        </w:rPr>
        <w:t>PRINCIPIO DE PROGRESIVIDAD. ES APLICABLE A TODOS LOS DERECHOS HUMANOS Y NO SÓLO A LOS LLAMADOS ECONÓMICOS, SOCIALES Y CULTURALES</w:t>
      </w:r>
      <w:r>
        <w:rPr>
          <w:rFonts w:ascii="Arial" w:hAnsi="Arial" w:cs="Arial"/>
          <w:i/>
          <w:iCs/>
          <w:sz w:val="20"/>
          <w:szCs w:val="20"/>
        </w:rPr>
        <w:t>”</w:t>
      </w:r>
      <w:r>
        <w:rPr>
          <w:rStyle w:val="Refdenotaalpie"/>
          <w:rFonts w:ascii="Arial" w:hAnsi="Arial" w:cs="Arial"/>
          <w:i/>
          <w:iCs/>
          <w:sz w:val="20"/>
          <w:szCs w:val="20"/>
        </w:rPr>
        <w:footnoteReference w:id="45"/>
      </w:r>
    </w:p>
    <w:p w14:paraId="7A45577F" w14:textId="77777777" w:rsidR="009F1D39" w:rsidRPr="00E24CC4" w:rsidRDefault="009F1D39" w:rsidP="009F1D39">
      <w:pPr>
        <w:spacing w:after="0"/>
        <w:jc w:val="both"/>
        <w:rPr>
          <w:rFonts w:ascii="Arial" w:hAnsi="Arial" w:cs="Arial"/>
          <w:i/>
          <w:iCs/>
          <w:sz w:val="20"/>
          <w:szCs w:val="20"/>
        </w:rPr>
      </w:pPr>
    </w:p>
    <w:p w14:paraId="3E447EDC" w14:textId="77777777" w:rsidR="00B32F18" w:rsidRDefault="009F1D39" w:rsidP="009F1D39">
      <w:pPr>
        <w:spacing w:after="0" w:line="257" w:lineRule="auto"/>
        <w:jc w:val="both"/>
        <w:rPr>
          <w:rFonts w:ascii="Arial" w:hAnsi="Arial" w:cs="Arial"/>
          <w:b/>
          <w:bCs/>
          <w:color w:val="333333"/>
          <w:sz w:val="24"/>
          <w:szCs w:val="24"/>
          <w:shd w:val="clear" w:color="auto" w:fill="FFFFFF"/>
        </w:rPr>
      </w:pPr>
      <w:r w:rsidRPr="00443EE4">
        <w:rPr>
          <w:rFonts w:ascii="Arial" w:hAnsi="Arial" w:cs="Arial"/>
          <w:b/>
          <w:bCs/>
          <w:color w:val="333333"/>
          <w:sz w:val="24"/>
          <w:szCs w:val="24"/>
          <w:shd w:val="clear" w:color="auto" w:fill="FFFFFF"/>
        </w:rPr>
        <w:tab/>
      </w:r>
    </w:p>
    <w:p w14:paraId="7EB2EE16" w14:textId="3B409293" w:rsidR="00B32F18" w:rsidRPr="00B32F18" w:rsidRDefault="00B32F18" w:rsidP="00B32F18">
      <w:pPr>
        <w:spacing w:after="0" w:line="257" w:lineRule="auto"/>
        <w:ind w:left="708"/>
        <w:jc w:val="both"/>
        <w:rPr>
          <w:rFonts w:ascii="Arial" w:hAnsi="Arial" w:cs="Arial"/>
          <w:b/>
          <w:i/>
          <w:szCs w:val="24"/>
          <w:shd w:val="clear" w:color="auto" w:fill="FFFFFF"/>
        </w:rPr>
      </w:pPr>
      <w:r w:rsidRPr="00B32F18">
        <w:rPr>
          <w:rFonts w:ascii="Arial" w:hAnsi="Arial" w:cs="Arial"/>
          <w:b/>
          <w:i/>
          <w:szCs w:val="24"/>
          <w:shd w:val="clear" w:color="auto" w:fill="FFFFFF"/>
        </w:rPr>
        <w:t>“DERECHO A LA DEFENSA DE LOS DERECHOS HUMANOS. CONSTITUYE UN DERECHO HUMANO AUTÓNOMO RECONOCIDO POR EL PARÁMETRO DE CONTROL DE REGULARIDAD CONSTITUCIONAL.</w:t>
      </w:r>
    </w:p>
    <w:p w14:paraId="48ED8275" w14:textId="3164BFB9" w:rsidR="00B32F18" w:rsidRPr="00B32F18" w:rsidRDefault="00B32F18" w:rsidP="00B32F18">
      <w:pPr>
        <w:spacing w:after="0" w:line="257" w:lineRule="auto"/>
        <w:ind w:left="708"/>
        <w:jc w:val="both"/>
        <w:rPr>
          <w:rFonts w:ascii="Arial" w:hAnsi="Arial" w:cs="Arial"/>
          <w:i/>
          <w:szCs w:val="24"/>
          <w:shd w:val="clear" w:color="auto" w:fill="FFFFFF"/>
        </w:rPr>
      </w:pPr>
      <w:r w:rsidRPr="00B32F18">
        <w:rPr>
          <w:rFonts w:ascii="Arial" w:hAnsi="Arial" w:cs="Arial"/>
          <w:i/>
          <w:szCs w:val="24"/>
          <w:shd w:val="clear" w:color="auto" w:fill="FFFFFF"/>
        </w:rPr>
        <w:t>Hechos: Una asociación civil promovió juicio de amparo indirecto en contra del Decreto por el que se reforman, adicionan y derogan diversas disposiciones de la Ley Federal de Telecomunicaciones y Radiodifusión, publicado en el Diario Oficial de la Federación el treinta y uno de octubre de dos mil diecisiete, al estimar que se vulneraba en su perjuicio el derecho humano a defender los derechos humanos, en particular, los derechos de las audiencias.</w:t>
      </w:r>
    </w:p>
    <w:p w14:paraId="0E9B0ADF" w14:textId="77777777" w:rsidR="00B32F18" w:rsidRPr="00B32F18" w:rsidRDefault="00B32F18" w:rsidP="00B32F18">
      <w:pPr>
        <w:spacing w:after="0" w:line="257" w:lineRule="auto"/>
        <w:ind w:left="708"/>
        <w:jc w:val="both"/>
        <w:rPr>
          <w:rFonts w:ascii="Arial" w:hAnsi="Arial" w:cs="Arial"/>
          <w:i/>
          <w:szCs w:val="24"/>
          <w:shd w:val="clear" w:color="auto" w:fill="FFFFFF"/>
        </w:rPr>
      </w:pPr>
      <w:r w:rsidRPr="00B32F18">
        <w:rPr>
          <w:rFonts w:ascii="Arial" w:hAnsi="Arial" w:cs="Arial"/>
          <w:i/>
          <w:szCs w:val="24"/>
          <w:shd w:val="clear" w:color="auto" w:fill="FFFFFF"/>
        </w:rPr>
        <w:t>Criterio jurídico: La Primera Sala de la Suprema Corte de Justicia de la Nación reconoce que, como parte de los mecanismos para consolidar los postulados de la democracia, es fundamental la protección y garantía del derecho de las personas, individual o colectivamente, a "defender los derechos humanos", que consiste en llevar a cabo cualquier labor o acción tendente al reconocimiento de los derechos humanos en su conjunto o de algunos de éstos, ya sean los derechos civiles, políticos, sociales, económicos o culturales.</w:t>
      </w:r>
    </w:p>
    <w:p w14:paraId="38F83B7F" w14:textId="5BD6D111" w:rsidR="00B32F18" w:rsidRPr="00B32F18" w:rsidRDefault="00B32F18" w:rsidP="00B32F18">
      <w:pPr>
        <w:spacing w:after="0" w:line="257" w:lineRule="auto"/>
        <w:ind w:left="708"/>
        <w:jc w:val="both"/>
        <w:rPr>
          <w:rFonts w:ascii="Arial" w:hAnsi="Arial" w:cs="Arial"/>
          <w:i/>
          <w:szCs w:val="24"/>
          <w:shd w:val="clear" w:color="auto" w:fill="FFFFFF"/>
        </w:rPr>
      </w:pPr>
      <w:r w:rsidRPr="00B32F18">
        <w:rPr>
          <w:rFonts w:ascii="Arial" w:hAnsi="Arial" w:cs="Arial"/>
          <w:i/>
          <w:szCs w:val="24"/>
          <w:shd w:val="clear" w:color="auto" w:fill="FFFFFF"/>
        </w:rPr>
        <w:t xml:space="preserve">Justificación: Lo anterior encuentra su fundamento, en primer lugar, en la Asamblea General de las Naciones Unidas, quien mediante la resolución 53/144 aprobó la "Declaración sobre el derecho y el deber de los individuos, los grupos y las instituciones de promover y proteger los derechos humanos y las libertades fundamentales universalmente reconocidos", en la que se reconoció que toda persona tiene derecho, individual o colectivamente, a promover y procurar la protección y realización de los derechos humanos y las libertades fundamentales en los planos nacional e internacional. En segundo lugar, en la Asamblea General de la Organización de los Estados Americanos quien, mediante la Resolución 1671, exhortó a los Estados Miembros –incluido el Estado Mexicano– a continuar con sus esfuerzos tendientes a otorgarles las garantías y facilidades necesarias a fin de seguir ejerciendo libremente sus tareas de promoción y protección de los derechos humanos. En tercer lugar, en el caso "Defensor de Derechos Humanos y otros Vs. Guatemala", en el que la Corte Interamericana de Derechos Humanos resolvió que lo que permite atribuir a una persona o grupo de personas la condición o la calidad de defensor de derechos humanos radica en la labor que realiza, con independencia de que la persona que lo haga sea un particular o un funcionario público; así como en el caso "Valle Jaramillo Vs. Colombia", en el que dispuso que la labor realizada por los defensores y las defensoras de derechos humanos es fundamental para el fortalecimiento de la democracia y el Estado de derecho, en tanto que actúan ejerciendo un constante reclamo, monitoreo, </w:t>
      </w:r>
      <w:proofErr w:type="spellStart"/>
      <w:r w:rsidRPr="00B32F18">
        <w:rPr>
          <w:rFonts w:ascii="Arial" w:hAnsi="Arial" w:cs="Arial"/>
          <w:i/>
          <w:szCs w:val="24"/>
          <w:shd w:val="clear" w:color="auto" w:fill="FFFFFF"/>
        </w:rPr>
        <w:t>visibilización</w:t>
      </w:r>
      <w:proofErr w:type="spellEnd"/>
      <w:r w:rsidRPr="00B32F18">
        <w:rPr>
          <w:rFonts w:ascii="Arial" w:hAnsi="Arial" w:cs="Arial"/>
          <w:i/>
          <w:szCs w:val="24"/>
          <w:shd w:val="clear" w:color="auto" w:fill="FFFFFF"/>
        </w:rPr>
        <w:t xml:space="preserve"> y denuncia de aquellas situaciones en que dicho goce y disfrute no se encuentra garantizado o es, incluso, violentado. En cuarto lugar, en la obligación general del Estado de promover, respetar, proteger y garantizar los derechos humanos, prevista en el párrafo tercero del artículo 1o. de la Constitución General. Y, en quinto lugar, en la eficacia horizontal de los derechos humanos, por virtud de la cual los particulares se encuentran, también, obligados a su promoción,</w:t>
      </w:r>
      <w:r>
        <w:rPr>
          <w:rFonts w:ascii="Arial" w:hAnsi="Arial" w:cs="Arial"/>
          <w:i/>
          <w:szCs w:val="24"/>
          <w:shd w:val="clear" w:color="auto" w:fill="FFFFFF"/>
        </w:rPr>
        <w:t xml:space="preserve"> protección, respeto y garantía”</w:t>
      </w:r>
      <w:r>
        <w:rPr>
          <w:rStyle w:val="Refdenotaalpie"/>
          <w:rFonts w:ascii="Arial" w:hAnsi="Arial" w:cs="Arial"/>
          <w:i/>
          <w:szCs w:val="24"/>
          <w:shd w:val="clear" w:color="auto" w:fill="FFFFFF"/>
        </w:rPr>
        <w:footnoteReference w:id="46"/>
      </w:r>
    </w:p>
    <w:p w14:paraId="260F394D" w14:textId="77777777" w:rsidR="00B32F18" w:rsidRPr="00B32F18" w:rsidRDefault="00B32F18" w:rsidP="00B32F18">
      <w:pPr>
        <w:spacing w:after="0" w:line="257" w:lineRule="auto"/>
        <w:jc w:val="both"/>
        <w:rPr>
          <w:rFonts w:ascii="Arial" w:hAnsi="Arial" w:cs="Arial"/>
          <w:sz w:val="24"/>
          <w:szCs w:val="24"/>
          <w:shd w:val="clear" w:color="auto" w:fill="FFFFFF"/>
        </w:rPr>
      </w:pPr>
    </w:p>
    <w:p w14:paraId="513AA5D0" w14:textId="64C391B1" w:rsidR="009F1D39" w:rsidRPr="00E7082A" w:rsidRDefault="009F1D39" w:rsidP="009F1D39">
      <w:pPr>
        <w:spacing w:after="0" w:line="257" w:lineRule="auto"/>
        <w:jc w:val="both"/>
        <w:rPr>
          <w:rFonts w:ascii="Arial" w:hAnsi="Arial" w:cs="Arial"/>
          <w:sz w:val="20"/>
          <w:szCs w:val="20"/>
          <w:shd w:val="clear" w:color="auto" w:fill="FFFFFF"/>
        </w:rPr>
      </w:pPr>
      <w:r w:rsidRPr="00E7082A">
        <w:rPr>
          <w:rFonts w:ascii="Arial" w:hAnsi="Arial" w:cs="Arial"/>
          <w:sz w:val="24"/>
          <w:szCs w:val="24"/>
          <w:shd w:val="clear" w:color="auto" w:fill="FFFFFF"/>
        </w:rPr>
        <w:t xml:space="preserve">Nuestro análisis conduce a una conclusión clara: la emisión del acuerdo tiene problemas serios de regularidad constitucional y convencional porque no motiva ni cumple cabalmente los principios de </w:t>
      </w:r>
      <w:r>
        <w:rPr>
          <w:rFonts w:ascii="Arial" w:hAnsi="Arial" w:cs="Arial"/>
          <w:sz w:val="24"/>
          <w:szCs w:val="24"/>
          <w:shd w:val="clear" w:color="auto" w:fill="FFFFFF"/>
        </w:rPr>
        <w:t xml:space="preserve">excepcionalidad, </w:t>
      </w:r>
      <w:proofErr w:type="spellStart"/>
      <w:r w:rsidRPr="00E7082A">
        <w:rPr>
          <w:rFonts w:ascii="Arial" w:hAnsi="Arial" w:cs="Arial"/>
          <w:sz w:val="24"/>
          <w:szCs w:val="24"/>
          <w:shd w:val="clear" w:color="auto" w:fill="FFFFFF"/>
        </w:rPr>
        <w:t>extraordinariedad</w:t>
      </w:r>
      <w:proofErr w:type="spellEnd"/>
      <w:r w:rsidRPr="00E7082A">
        <w:rPr>
          <w:rFonts w:ascii="Arial" w:hAnsi="Arial" w:cs="Arial"/>
          <w:sz w:val="24"/>
          <w:szCs w:val="24"/>
          <w:shd w:val="clear" w:color="auto" w:fill="FFFFFF"/>
        </w:rPr>
        <w:t xml:space="preserve">, regulación, fiscalización, subordinación y complementariedad, establecidos tanto en la Constitución </w:t>
      </w:r>
      <w:r w:rsidRPr="00E7082A">
        <w:rPr>
          <w:rFonts w:ascii="Arial" w:hAnsi="Arial" w:cs="Arial"/>
          <w:sz w:val="24"/>
          <w:szCs w:val="24"/>
          <w:shd w:val="clear" w:color="auto" w:fill="FFFFFF"/>
        </w:rPr>
        <w:lastRenderedPageBreak/>
        <w:t xml:space="preserve">como en los criterios obligatorios de la </w:t>
      </w:r>
      <w:proofErr w:type="spellStart"/>
      <w:r w:rsidRPr="00E7082A">
        <w:rPr>
          <w:rFonts w:ascii="Arial" w:hAnsi="Arial" w:cs="Arial"/>
          <w:sz w:val="24"/>
          <w:szCs w:val="24"/>
          <w:shd w:val="clear" w:color="auto" w:fill="FFFFFF"/>
        </w:rPr>
        <w:t>CorteIDH</w:t>
      </w:r>
      <w:proofErr w:type="spellEnd"/>
      <w:r>
        <w:rPr>
          <w:rFonts w:ascii="Arial" w:hAnsi="Arial" w:cs="Arial"/>
          <w:sz w:val="24"/>
          <w:szCs w:val="24"/>
          <w:shd w:val="clear" w:color="auto" w:fill="FFFFFF"/>
        </w:rPr>
        <w:t xml:space="preserve"> para el personal activo de la Secretaría de la Defensa Nacional tareas de seguridad pública.</w:t>
      </w:r>
    </w:p>
    <w:p w14:paraId="25253323" w14:textId="0F8D26DD" w:rsidR="0097427A" w:rsidRDefault="00F62DDA" w:rsidP="00F62DDA">
      <w:pPr>
        <w:spacing w:before="240"/>
        <w:ind w:right="49"/>
        <w:jc w:val="both"/>
        <w:rPr>
          <w:rFonts w:ascii="Arial" w:hAnsi="Arial" w:cs="Arial"/>
          <w:sz w:val="24"/>
          <w:szCs w:val="24"/>
        </w:rPr>
      </w:pPr>
      <w:r>
        <w:rPr>
          <w:rFonts w:ascii="Arial" w:hAnsi="Arial" w:cs="Arial"/>
          <w:b/>
        </w:rPr>
        <w:t xml:space="preserve">QUINTO. </w:t>
      </w:r>
      <w:r w:rsidR="00D54033">
        <w:rPr>
          <w:rFonts w:ascii="Arial" w:hAnsi="Arial" w:cs="Arial"/>
          <w:b/>
        </w:rPr>
        <w:t>En cuanto a la</w:t>
      </w:r>
      <w:r w:rsidR="00DE3E25">
        <w:rPr>
          <w:rFonts w:ascii="Arial" w:hAnsi="Arial" w:cs="Arial"/>
          <w:b/>
        </w:rPr>
        <w:t xml:space="preserve"> interpretación </w:t>
      </w:r>
      <w:r w:rsidR="00FF5A6C">
        <w:rPr>
          <w:rFonts w:ascii="Arial" w:hAnsi="Arial" w:cs="Arial"/>
          <w:b/>
        </w:rPr>
        <w:t>discrecional de derogación e inaplicación de todas las normas que se opongan,</w:t>
      </w:r>
      <w:r w:rsidR="00DE3E25">
        <w:rPr>
          <w:rFonts w:ascii="Arial" w:hAnsi="Arial" w:cs="Arial"/>
          <w:b/>
        </w:rPr>
        <w:t xml:space="preserve"> es competencia de los Tribunales del Poder Judicial de la Federación a través del Control Constitucional y Convencional. </w:t>
      </w:r>
      <w:r w:rsidR="0097427A">
        <w:rPr>
          <w:rFonts w:ascii="Arial" w:hAnsi="Arial" w:cs="Arial"/>
          <w:sz w:val="24"/>
          <w:szCs w:val="24"/>
        </w:rPr>
        <w:t xml:space="preserve">El artículo Noveno transitorio del Decreto, viola el artículo 1, </w:t>
      </w:r>
      <w:r w:rsidR="00FA3DD8">
        <w:rPr>
          <w:rFonts w:ascii="Arial" w:hAnsi="Arial" w:cs="Arial"/>
          <w:sz w:val="24"/>
          <w:szCs w:val="24"/>
        </w:rPr>
        <w:t xml:space="preserve">14, 16, </w:t>
      </w:r>
      <w:r w:rsidR="00430690">
        <w:rPr>
          <w:rFonts w:ascii="Arial" w:hAnsi="Arial" w:cs="Arial"/>
          <w:sz w:val="24"/>
          <w:szCs w:val="24"/>
        </w:rPr>
        <w:t xml:space="preserve">21, </w:t>
      </w:r>
      <w:r w:rsidR="000A39C7">
        <w:rPr>
          <w:rFonts w:ascii="Arial" w:hAnsi="Arial" w:cs="Arial"/>
          <w:sz w:val="24"/>
          <w:szCs w:val="24"/>
        </w:rPr>
        <w:t xml:space="preserve">49, </w:t>
      </w:r>
      <w:r w:rsidR="00836D6F">
        <w:rPr>
          <w:rFonts w:ascii="Arial" w:hAnsi="Arial" w:cs="Arial"/>
          <w:sz w:val="24"/>
          <w:szCs w:val="24"/>
        </w:rPr>
        <w:t xml:space="preserve">103, </w:t>
      </w:r>
      <w:r w:rsidR="009B062D">
        <w:rPr>
          <w:rFonts w:ascii="Arial" w:hAnsi="Arial" w:cs="Arial"/>
          <w:sz w:val="24"/>
          <w:szCs w:val="24"/>
        </w:rPr>
        <w:t xml:space="preserve">105, </w:t>
      </w:r>
      <w:r w:rsidR="00836D6F">
        <w:rPr>
          <w:rFonts w:ascii="Arial" w:hAnsi="Arial" w:cs="Arial"/>
          <w:sz w:val="24"/>
          <w:szCs w:val="24"/>
        </w:rPr>
        <w:t xml:space="preserve">107 y </w:t>
      </w:r>
      <w:r w:rsidR="0097427A">
        <w:rPr>
          <w:rFonts w:ascii="Arial" w:hAnsi="Arial" w:cs="Arial"/>
          <w:sz w:val="24"/>
          <w:szCs w:val="24"/>
        </w:rPr>
        <w:t xml:space="preserve">133, </w:t>
      </w:r>
      <w:r w:rsidR="006D3778">
        <w:rPr>
          <w:rFonts w:ascii="Arial" w:hAnsi="Arial" w:cs="Arial"/>
          <w:sz w:val="24"/>
          <w:szCs w:val="24"/>
        </w:rPr>
        <w:t xml:space="preserve">de la Carta Magna, </w:t>
      </w:r>
      <w:r w:rsidR="00925F40">
        <w:rPr>
          <w:rFonts w:ascii="Arial" w:hAnsi="Arial" w:cs="Arial"/>
          <w:sz w:val="24"/>
          <w:szCs w:val="24"/>
        </w:rPr>
        <w:t>en razón de que contempla arbitrariamente la d</w:t>
      </w:r>
      <w:r w:rsidR="0097427A" w:rsidRPr="00FE1E8D">
        <w:rPr>
          <w:rFonts w:ascii="Arial" w:hAnsi="Arial" w:cs="Arial"/>
          <w:sz w:val="24"/>
          <w:szCs w:val="24"/>
        </w:rPr>
        <w:t xml:space="preserve">erogación de todas las disposiciones contrarias </w:t>
      </w:r>
      <w:r w:rsidR="00925F40">
        <w:rPr>
          <w:rFonts w:ascii="Arial" w:hAnsi="Arial" w:cs="Arial"/>
          <w:sz w:val="24"/>
          <w:szCs w:val="24"/>
        </w:rPr>
        <w:t xml:space="preserve">al decreto que se reclama, lo cual </w:t>
      </w:r>
      <w:r w:rsidR="0097427A" w:rsidRPr="00FE1E8D">
        <w:rPr>
          <w:rFonts w:ascii="Arial" w:hAnsi="Arial" w:cs="Arial"/>
          <w:sz w:val="24"/>
          <w:szCs w:val="24"/>
        </w:rPr>
        <w:t>corresponde al control constitucional judicial</w:t>
      </w:r>
      <w:r w:rsidR="00925F40">
        <w:rPr>
          <w:rFonts w:ascii="Arial" w:hAnsi="Arial" w:cs="Arial"/>
          <w:sz w:val="24"/>
          <w:szCs w:val="24"/>
        </w:rPr>
        <w:t>, esto es, a los Tribunales del Poder Judicial de la Federación, y dicha incertidumbre repercute en el ejercicio de los derechos fundamentales 6, 7, 8, 9 y 11 de la Constitución General de la República, por dejar la interpretación al arbitrio de la Guardia Nacional, Ejercito y Poder Ejecutivo.</w:t>
      </w:r>
    </w:p>
    <w:p w14:paraId="4A861CD8" w14:textId="2572E844" w:rsidR="00B33728" w:rsidRPr="00FE1E8D" w:rsidRDefault="00B33728" w:rsidP="0097427A">
      <w:pPr>
        <w:jc w:val="both"/>
        <w:rPr>
          <w:rFonts w:ascii="Arial" w:hAnsi="Arial" w:cs="Arial"/>
          <w:sz w:val="24"/>
          <w:szCs w:val="24"/>
        </w:rPr>
      </w:pPr>
      <w:r>
        <w:rPr>
          <w:rFonts w:ascii="Arial" w:hAnsi="Arial" w:cs="Arial"/>
          <w:sz w:val="24"/>
          <w:szCs w:val="24"/>
        </w:rPr>
        <w:t xml:space="preserve">En el caso concreto las autoridades responsables a través del artículo noveno transitorio de la norma general que se reclama establecieron arbitrariamente que </w:t>
      </w:r>
      <w:r w:rsidRPr="00B33728">
        <w:rPr>
          <w:rFonts w:ascii="Arial" w:hAnsi="Arial" w:cs="Arial"/>
          <w:i/>
          <w:sz w:val="24"/>
          <w:szCs w:val="24"/>
        </w:rPr>
        <w:t>a partir de la entrada en vigor de este Decreto, se derogan todas las disposiciones que se opongan a su contenido, comprendidas en leyes secundarias, reglamentos, acuerdos y cualquier otra de carácter administrativo</w:t>
      </w:r>
      <w:r>
        <w:rPr>
          <w:rFonts w:ascii="Arial" w:hAnsi="Arial" w:cs="Arial"/>
          <w:sz w:val="24"/>
          <w:szCs w:val="24"/>
        </w:rPr>
        <w:t xml:space="preserve">. </w:t>
      </w:r>
    </w:p>
    <w:p w14:paraId="3E07C7A1" w14:textId="2F23EEA2" w:rsidR="00E321AC" w:rsidRPr="00FF5A6C" w:rsidRDefault="00FA3DD8" w:rsidP="00C7698C">
      <w:pPr>
        <w:spacing w:before="240"/>
        <w:ind w:right="49"/>
        <w:jc w:val="both"/>
        <w:rPr>
          <w:rFonts w:ascii="Arial" w:hAnsi="Arial" w:cs="Arial"/>
          <w:szCs w:val="24"/>
        </w:rPr>
      </w:pPr>
      <w:r>
        <w:rPr>
          <w:rFonts w:ascii="Arial" w:hAnsi="Arial" w:cs="Arial"/>
          <w:sz w:val="24"/>
          <w:szCs w:val="24"/>
        </w:rPr>
        <w:t>S</w:t>
      </w:r>
      <w:r w:rsidRPr="00FA3DD8">
        <w:rPr>
          <w:rFonts w:ascii="Arial" w:hAnsi="Arial" w:cs="Arial"/>
          <w:sz w:val="24"/>
          <w:szCs w:val="24"/>
        </w:rPr>
        <w:t xml:space="preserve">e está en presencia de un problema de regulación excesiva o de rebase de las disposiciones reglamentarias frente a la ley de la que emanan, no es dable establecer en una disposición transitoria </w:t>
      </w:r>
      <w:r>
        <w:rPr>
          <w:rFonts w:ascii="Arial" w:hAnsi="Arial" w:cs="Arial"/>
          <w:sz w:val="24"/>
          <w:szCs w:val="24"/>
        </w:rPr>
        <w:t>no</w:t>
      </w:r>
      <w:r w:rsidRPr="00FA3DD8">
        <w:rPr>
          <w:rFonts w:ascii="Arial" w:hAnsi="Arial" w:cs="Arial"/>
          <w:sz w:val="24"/>
          <w:szCs w:val="24"/>
        </w:rPr>
        <w:t xml:space="preserve"> se deberá continuar la aplicación de l</w:t>
      </w:r>
      <w:r>
        <w:rPr>
          <w:rFonts w:ascii="Arial" w:hAnsi="Arial" w:cs="Arial"/>
          <w:sz w:val="24"/>
          <w:szCs w:val="24"/>
        </w:rPr>
        <w:t>as</w:t>
      </w:r>
      <w:r w:rsidRPr="00FA3DD8">
        <w:rPr>
          <w:rFonts w:ascii="Arial" w:hAnsi="Arial" w:cs="Arial"/>
          <w:sz w:val="24"/>
          <w:szCs w:val="24"/>
        </w:rPr>
        <w:t xml:space="preserve"> </w:t>
      </w:r>
      <w:r>
        <w:rPr>
          <w:rFonts w:ascii="Arial" w:hAnsi="Arial" w:cs="Arial"/>
          <w:sz w:val="24"/>
          <w:szCs w:val="24"/>
        </w:rPr>
        <w:t>disposiciones que se opongan al decreto</w:t>
      </w:r>
      <w:r w:rsidRPr="00FA3DD8">
        <w:rPr>
          <w:rFonts w:ascii="Arial" w:hAnsi="Arial" w:cs="Arial"/>
          <w:sz w:val="24"/>
          <w:szCs w:val="24"/>
        </w:rPr>
        <w:t xml:space="preserve">, puesto que </w:t>
      </w:r>
      <w:r w:rsidR="00B33728">
        <w:rPr>
          <w:rFonts w:ascii="Arial" w:hAnsi="Arial" w:cs="Arial"/>
          <w:sz w:val="24"/>
          <w:szCs w:val="24"/>
        </w:rPr>
        <w:t>está dejando</w:t>
      </w:r>
      <w:r w:rsidRPr="00FA3DD8">
        <w:rPr>
          <w:rFonts w:ascii="Arial" w:hAnsi="Arial" w:cs="Arial"/>
          <w:sz w:val="24"/>
          <w:szCs w:val="24"/>
        </w:rPr>
        <w:t xml:space="preserve"> </w:t>
      </w:r>
      <w:r w:rsidR="00B33728">
        <w:rPr>
          <w:rFonts w:ascii="Arial" w:hAnsi="Arial" w:cs="Arial"/>
          <w:sz w:val="24"/>
          <w:szCs w:val="24"/>
        </w:rPr>
        <w:t xml:space="preserve">al </w:t>
      </w:r>
      <w:r w:rsidRPr="00FA3DD8">
        <w:rPr>
          <w:rFonts w:ascii="Arial" w:hAnsi="Arial" w:cs="Arial"/>
          <w:sz w:val="24"/>
          <w:szCs w:val="24"/>
        </w:rPr>
        <w:t xml:space="preserve">arbitrio de las autoridades administrativas la determinación de los casos en que la norma </w:t>
      </w:r>
      <w:r w:rsidR="00B33728">
        <w:rPr>
          <w:rFonts w:ascii="Arial" w:hAnsi="Arial" w:cs="Arial"/>
          <w:sz w:val="24"/>
          <w:szCs w:val="24"/>
        </w:rPr>
        <w:t xml:space="preserve">de igual jerarquía o </w:t>
      </w:r>
      <w:r w:rsidRPr="00FA3DD8">
        <w:rPr>
          <w:rFonts w:ascii="Arial" w:hAnsi="Arial" w:cs="Arial"/>
          <w:sz w:val="24"/>
          <w:szCs w:val="24"/>
        </w:rPr>
        <w:t>secundaria</w:t>
      </w:r>
      <w:r w:rsidR="00B33728">
        <w:rPr>
          <w:rFonts w:ascii="Arial" w:hAnsi="Arial" w:cs="Arial"/>
          <w:sz w:val="24"/>
          <w:szCs w:val="24"/>
        </w:rPr>
        <w:t>s</w:t>
      </w:r>
      <w:r w:rsidRPr="00FA3DD8">
        <w:rPr>
          <w:rFonts w:ascii="Arial" w:hAnsi="Arial" w:cs="Arial"/>
          <w:sz w:val="24"/>
          <w:szCs w:val="24"/>
        </w:rPr>
        <w:t xml:space="preserve"> rebasa</w:t>
      </w:r>
      <w:r w:rsidR="00B33728">
        <w:rPr>
          <w:rFonts w:ascii="Arial" w:hAnsi="Arial" w:cs="Arial"/>
          <w:sz w:val="24"/>
          <w:szCs w:val="24"/>
        </w:rPr>
        <w:t>n</w:t>
      </w:r>
      <w:r w:rsidRPr="00FA3DD8">
        <w:rPr>
          <w:rFonts w:ascii="Arial" w:hAnsi="Arial" w:cs="Arial"/>
          <w:sz w:val="24"/>
          <w:szCs w:val="24"/>
        </w:rPr>
        <w:t xml:space="preserve"> a la primaria, fomentando con ello el control difuso de la constitucionalidad, y siendo que si dicho tema se traduce en un problema de constitucionalidad, su examen está reservado a los Tribunales del Poder Judicial de la Federación.</w:t>
      </w:r>
    </w:p>
    <w:p w14:paraId="3BC176F3" w14:textId="08ACC0A1" w:rsidR="00B33728" w:rsidRPr="00FF5A6C" w:rsidRDefault="00B33728" w:rsidP="00B33728">
      <w:pPr>
        <w:spacing w:before="240"/>
        <w:ind w:left="708" w:right="49"/>
        <w:jc w:val="both"/>
        <w:rPr>
          <w:rFonts w:ascii="Arial" w:hAnsi="Arial" w:cs="Arial"/>
          <w:i/>
          <w:szCs w:val="24"/>
        </w:rPr>
      </w:pPr>
      <w:r w:rsidRPr="00FF5A6C">
        <w:rPr>
          <w:rFonts w:ascii="Arial" w:hAnsi="Arial" w:cs="Arial"/>
          <w:b/>
          <w:i/>
          <w:szCs w:val="24"/>
        </w:rPr>
        <w:t xml:space="preserve">“ARTÍCULOS TRANSITORIOS. AL PREVER QUE LAS DISPOSICIONES REGLAMENTARIAS DE UNA LEGISLACIÓN ANTERIOR, CONTINUARÁN VIGENTES CON MOTIVO DE LA ENTRADA EN VIGOR DE LA NUEVA LEY EN TANTO NO SE OPONGAN AL CONTENIDO DE ÉSTA, ÚNICAMENTE REGULAN UN TEMA DE LEGALIDAD DISTINTO A LOS PROBLEMAS DE CONSTITUCIONALIDAD QUE SE SUSCITEN ENTRE EL REGLAMENTO Y LA NORMA PRIMARIA. </w:t>
      </w:r>
      <w:r w:rsidRPr="00FF5A6C">
        <w:rPr>
          <w:rFonts w:ascii="Arial" w:hAnsi="Arial" w:cs="Arial"/>
          <w:i/>
          <w:szCs w:val="24"/>
        </w:rPr>
        <w:t xml:space="preserve">Con base en lo señalado por el Pleno de la Suprema Corte de Justicia de la Nación, en la tesis P. XX/96 de rubro: "REGLAMENTOS. EL LEGISLADOR ESTÁ FACULTADO PARA MANTENER TRANSITORIAMENTE SU VIGENCIA, AUN CUANDO LA LEY QUE DETALLABAN HUBIESE SIDO DEROGADA O ABROGADA.", se concluye que tales preceptos tienen como fin primordial regular un tema de legalidad relativo a la aplicación correcta de la norma jurídica, pudiendo prever inclusive que la preceptiva reglamentaria de una ley anterior, continúe vigente hasta en tanto se expida el reglamento de la nueva legislación, con el fin de evitar problemas de aplicación temporal y material de la norma ante la ausencia de disposiciones reglamentarias; sin embargo, dado el carácter de los artículos transitorios, no es dable estimar que a virtud de éstos se regulen o eviten problemas de constitucionalidad, puesto que tales aspectos están reservados, en términos del control concentrado de la constitucionalidad que rige en nuestro orden jurídico, a los Tribunales del Poder Judicial de la Federación. En mérito de lo expuesto, se tiene que cuando en un artículo transitorio se establece la aplicación de los reglamentos vigentes de una legislación anterior, en tanto no se opongan con el contenido de la nueva ley, se regula el ámbito temporal y material de validez de la norma, traducido en un tema de legalidad que busca evitar la contradicción o antagonismo entre las instituciones jurídicas reguladas en la norma primaria y la secundaria; empero, si se está en presencia de un problema de regulación excesiva o de rebase de las disposiciones reglamentarias frente a la ley de la que emanan, no es dable establecer en una disposición transitoria que se deberá continuar la aplicación de los reglamentos en tanto no excedan el contenido de la ley, puesto que ello significaría dejar al arbitrio de las autoridades administrativas la determinación de los casos en que la norma secundaria rebasa a la primaria, fomentando con ello el control difuso de la </w:t>
      </w:r>
      <w:r w:rsidRPr="00FF5A6C">
        <w:rPr>
          <w:rFonts w:ascii="Arial" w:hAnsi="Arial" w:cs="Arial"/>
          <w:i/>
          <w:szCs w:val="24"/>
        </w:rPr>
        <w:lastRenderedPageBreak/>
        <w:t xml:space="preserve">constitucionalidad, y siendo que si dicho tema se traduce en un problema de constitucionalidad, </w:t>
      </w:r>
      <w:r w:rsidRPr="00FF5A6C">
        <w:rPr>
          <w:rFonts w:ascii="Arial" w:hAnsi="Arial" w:cs="Arial"/>
          <w:i/>
          <w:szCs w:val="24"/>
          <w:u w:val="single"/>
        </w:rPr>
        <w:t>su examen está reservado a los Tribunales del Poder Judicial de la Federación</w:t>
      </w:r>
      <w:r w:rsidRPr="00FF5A6C">
        <w:rPr>
          <w:rFonts w:ascii="Arial" w:hAnsi="Arial" w:cs="Arial"/>
          <w:i/>
          <w:szCs w:val="24"/>
        </w:rPr>
        <w:t>.”</w:t>
      </w:r>
      <w:r w:rsidRPr="00FF5A6C">
        <w:rPr>
          <w:rStyle w:val="Refdenotaalpie"/>
          <w:rFonts w:ascii="Arial" w:hAnsi="Arial" w:cs="Arial"/>
          <w:i/>
          <w:szCs w:val="24"/>
        </w:rPr>
        <w:footnoteReference w:id="47"/>
      </w:r>
    </w:p>
    <w:p w14:paraId="47BDC187" w14:textId="08C48166" w:rsidR="00AA4DD2" w:rsidRPr="00AA4DD2" w:rsidRDefault="00AA4DD2" w:rsidP="00AA4DD2">
      <w:pPr>
        <w:spacing w:before="240"/>
        <w:ind w:right="49"/>
        <w:jc w:val="both"/>
        <w:rPr>
          <w:rFonts w:ascii="Arial" w:hAnsi="Arial" w:cs="Arial"/>
          <w:sz w:val="24"/>
          <w:szCs w:val="24"/>
        </w:rPr>
      </w:pPr>
      <w:r>
        <w:rPr>
          <w:rFonts w:ascii="Arial" w:hAnsi="Arial" w:cs="Arial"/>
          <w:sz w:val="24"/>
          <w:szCs w:val="24"/>
        </w:rPr>
        <w:t>También apoya a lo anterior la jurisprudencia por p</w:t>
      </w:r>
      <w:r w:rsidRPr="00AA4DD2">
        <w:rPr>
          <w:rFonts w:ascii="Arial" w:hAnsi="Arial" w:cs="Arial"/>
          <w:sz w:val="24"/>
          <w:szCs w:val="24"/>
        </w:rPr>
        <w:t xml:space="preserve">recedente </w:t>
      </w:r>
      <w:r>
        <w:rPr>
          <w:rFonts w:ascii="Arial" w:hAnsi="Arial" w:cs="Arial"/>
          <w:sz w:val="24"/>
          <w:szCs w:val="24"/>
        </w:rPr>
        <w:t>aprobado por</w:t>
      </w:r>
      <w:r w:rsidRPr="00AA4DD2">
        <w:rPr>
          <w:rFonts w:ascii="Arial" w:hAnsi="Arial" w:cs="Arial"/>
          <w:sz w:val="24"/>
          <w:szCs w:val="24"/>
        </w:rPr>
        <w:t xml:space="preserve"> ocho votos de los Ministros del Tribunal del Pleno:</w:t>
      </w:r>
    </w:p>
    <w:p w14:paraId="00CBDC5E" w14:textId="0FB804A4" w:rsidR="00F42377" w:rsidRPr="00FF5A6C" w:rsidRDefault="00F42377" w:rsidP="00F42377">
      <w:pPr>
        <w:spacing w:before="240"/>
        <w:ind w:left="708" w:right="49"/>
        <w:jc w:val="both"/>
        <w:rPr>
          <w:rFonts w:ascii="Arial" w:hAnsi="Arial" w:cs="Arial"/>
          <w:i/>
          <w:szCs w:val="24"/>
        </w:rPr>
      </w:pPr>
      <w:r>
        <w:rPr>
          <w:rFonts w:ascii="Arial" w:hAnsi="Arial" w:cs="Arial"/>
          <w:i/>
          <w:sz w:val="24"/>
          <w:szCs w:val="24"/>
        </w:rPr>
        <w:t xml:space="preserve"> </w:t>
      </w:r>
      <w:r w:rsidRPr="00FF5A6C">
        <w:rPr>
          <w:rFonts w:ascii="Arial" w:hAnsi="Arial" w:cs="Arial"/>
          <w:i/>
          <w:szCs w:val="24"/>
        </w:rPr>
        <w:t>“</w:t>
      </w:r>
      <w:r w:rsidRPr="00FF5A6C">
        <w:rPr>
          <w:rFonts w:ascii="Arial" w:hAnsi="Arial" w:cs="Arial"/>
          <w:b/>
          <w:i/>
          <w:szCs w:val="24"/>
        </w:rPr>
        <w:t>DECRETO DE REFORMA CONSTITUCIONAL PUBLICADO EN EL DIARIO OFICIAL DE LA FEDERACIÓN EL 10 DE JUNIO DE 2011. PARA ESTABLECER SI UNA NORMA FUE DEROGADA POR SU ARTÍCULO NOVENO TRANSITORIO, ES NECESARIO UN ESTUDIO DE CONSTITUCIONALIDAD DE NORMAS POR AUTORIDAD JURISDICCIONAL COMPETENTE</w:t>
      </w:r>
      <w:r w:rsidRPr="00FF5A6C">
        <w:rPr>
          <w:rFonts w:ascii="Arial" w:hAnsi="Arial" w:cs="Arial"/>
          <w:i/>
          <w:szCs w:val="24"/>
        </w:rPr>
        <w:t>. El citado precepto establece que se derogan todas las disposiciones que contravengan al decreto mencionado, lo que evidencia la existencia de una cláusula de derogación expresa indeterminada, en tanto ordena la derogación de ciertas disposiciones pero sin especificar cuáles son. Así, frente a la norma constitucional que deroga todas las disposiciones que se le opongan, el legislador ordinario debe ejercer sus facultades para modificar o derogar todos los ordenamientos que considere contravengan el numeral fundamental y, en tanto no lo haga, tales normas gozan de la presunción de vigencia y validez constitucional. Ahora bien, ante una real o supuesta omisión del legislador ordinario en derogar una norma que se considera contraviene los derechos humanos que, a partir de la reforma constitucional publicada en el Diario Oficial de la Federación el 10 de junio de 2011 reconocen la Constitución y los tratados internacionales de la materia, es necesario el estudio de constitucionalidad de normas por autoridad jurisdiccional competente, pues ello supone el contraste entre la norma cuestionada y la Constitución Política de los Estados Unidos Mexicanos”</w:t>
      </w:r>
      <w:r w:rsidR="00D4121D" w:rsidRPr="00FF5A6C">
        <w:rPr>
          <w:rStyle w:val="Refdenotaalpie"/>
          <w:rFonts w:ascii="Arial" w:hAnsi="Arial" w:cs="Arial"/>
          <w:i/>
          <w:szCs w:val="24"/>
        </w:rPr>
        <w:footnoteReference w:id="48"/>
      </w:r>
    </w:p>
    <w:p w14:paraId="2FD9D87A" w14:textId="4AE7EBB3" w:rsidR="000A39C7" w:rsidRDefault="000A39C7" w:rsidP="000A39C7">
      <w:pPr>
        <w:spacing w:before="240"/>
        <w:ind w:right="49"/>
        <w:jc w:val="both"/>
        <w:rPr>
          <w:rFonts w:ascii="Arial" w:hAnsi="Arial" w:cs="Arial"/>
          <w:sz w:val="24"/>
          <w:szCs w:val="24"/>
        </w:rPr>
      </w:pPr>
      <w:r>
        <w:rPr>
          <w:rFonts w:ascii="Arial" w:hAnsi="Arial" w:cs="Arial"/>
          <w:sz w:val="24"/>
          <w:szCs w:val="24"/>
        </w:rPr>
        <w:t>Dicha discrecionalidad permite la apertura de un campo de interpretación arbitraria de los elementos de la Guardia Nacional y del Ejército en su act</w:t>
      </w:r>
      <w:r w:rsidR="00340BF0">
        <w:rPr>
          <w:rFonts w:ascii="Arial" w:hAnsi="Arial" w:cs="Arial"/>
          <w:sz w:val="24"/>
          <w:szCs w:val="24"/>
        </w:rPr>
        <w:t>uación contra la parte quejosa.</w:t>
      </w:r>
    </w:p>
    <w:p w14:paraId="2A98D223" w14:textId="5825EE17" w:rsidR="00070432" w:rsidRDefault="00070432" w:rsidP="000A39C7">
      <w:pPr>
        <w:spacing w:before="240"/>
        <w:ind w:right="49"/>
        <w:jc w:val="both"/>
        <w:rPr>
          <w:rFonts w:ascii="Arial" w:hAnsi="Arial" w:cs="Arial"/>
          <w:sz w:val="24"/>
          <w:szCs w:val="24"/>
        </w:rPr>
      </w:pPr>
      <w:r>
        <w:rPr>
          <w:rFonts w:ascii="Arial" w:hAnsi="Arial" w:cs="Arial"/>
          <w:sz w:val="24"/>
          <w:szCs w:val="24"/>
        </w:rPr>
        <w:t>Tienen la obligación de precisar cuáles disposiciones se oponen, o de omitir dicho artíc</w:t>
      </w:r>
      <w:r w:rsidR="0054084E">
        <w:rPr>
          <w:rFonts w:ascii="Arial" w:hAnsi="Arial" w:cs="Arial"/>
          <w:sz w:val="24"/>
          <w:szCs w:val="24"/>
        </w:rPr>
        <w:t>ulo transitorio que se reclama, hasta en tanto haya una determinación por los Tribunales del Poder Judicial de la Federación o la Suprema Corte de Justicia de la Nación.</w:t>
      </w:r>
    </w:p>
    <w:p w14:paraId="3AFB2570" w14:textId="17F59D97" w:rsidR="00513DBE" w:rsidRDefault="00513DBE" w:rsidP="000A39C7">
      <w:pPr>
        <w:spacing w:before="240"/>
        <w:ind w:right="49"/>
        <w:jc w:val="both"/>
        <w:rPr>
          <w:rFonts w:ascii="Arial" w:hAnsi="Arial" w:cs="Arial"/>
          <w:sz w:val="24"/>
          <w:szCs w:val="24"/>
        </w:rPr>
      </w:pPr>
      <w:r>
        <w:rPr>
          <w:rFonts w:ascii="Arial" w:hAnsi="Arial" w:cs="Arial"/>
          <w:sz w:val="24"/>
          <w:szCs w:val="24"/>
        </w:rPr>
        <w:t xml:space="preserve">Lo anterior para que no se preste a confusiones por parte de la autoridad administrativa, Guardia Nacional o </w:t>
      </w:r>
      <w:r w:rsidR="00D54033">
        <w:rPr>
          <w:rFonts w:ascii="Arial" w:hAnsi="Arial" w:cs="Arial"/>
          <w:sz w:val="24"/>
          <w:szCs w:val="24"/>
        </w:rPr>
        <w:t>Ejército</w:t>
      </w:r>
      <w:r>
        <w:rPr>
          <w:rFonts w:ascii="Arial" w:hAnsi="Arial" w:cs="Arial"/>
          <w:sz w:val="24"/>
          <w:szCs w:val="24"/>
        </w:rPr>
        <w:t>, como</w:t>
      </w:r>
      <w:r w:rsidR="009F1D39">
        <w:rPr>
          <w:rFonts w:ascii="Arial" w:hAnsi="Arial" w:cs="Arial"/>
          <w:sz w:val="24"/>
          <w:szCs w:val="24"/>
        </w:rPr>
        <w:t xml:space="preserve"> por ejemplo</w:t>
      </w:r>
      <w:r>
        <w:rPr>
          <w:rFonts w:ascii="Arial" w:hAnsi="Arial" w:cs="Arial"/>
          <w:sz w:val="24"/>
          <w:szCs w:val="24"/>
        </w:rPr>
        <w:t xml:space="preserve"> la siguiente:</w:t>
      </w:r>
    </w:p>
    <w:p w14:paraId="0A140EAB" w14:textId="4AA1DF44" w:rsidR="00070432" w:rsidRPr="00513DBE" w:rsidRDefault="00FF5A6C" w:rsidP="00513DBE">
      <w:pPr>
        <w:spacing w:before="240"/>
        <w:ind w:left="708" w:right="49"/>
        <w:jc w:val="both"/>
        <w:rPr>
          <w:rFonts w:ascii="Arial" w:hAnsi="Arial" w:cs="Arial"/>
          <w:i/>
          <w:szCs w:val="24"/>
        </w:rPr>
      </w:pPr>
      <w:r>
        <w:rPr>
          <w:rFonts w:ascii="Arial" w:hAnsi="Arial" w:cs="Arial"/>
          <w:b/>
          <w:i/>
          <w:szCs w:val="24"/>
        </w:rPr>
        <w:t>“</w:t>
      </w:r>
      <w:r w:rsidR="00070432" w:rsidRPr="00513DBE">
        <w:rPr>
          <w:rFonts w:ascii="Arial" w:hAnsi="Arial" w:cs="Arial"/>
          <w:b/>
          <w:i/>
          <w:szCs w:val="24"/>
        </w:rPr>
        <w:t>CODIGO DE COMERCIO, EL CODIGO DE PROCEDIMIENTOS CIVILES PARA EL DISTRITO FEDERAL NO DEROGA DISPOSICIONES QUE SE OPONGAN AL</w:t>
      </w:r>
      <w:r w:rsidR="00070432" w:rsidRPr="00513DBE">
        <w:rPr>
          <w:rFonts w:ascii="Arial" w:hAnsi="Arial" w:cs="Arial"/>
          <w:i/>
          <w:szCs w:val="24"/>
        </w:rPr>
        <w:t>. No es cierto que el Código de Procedimientos Civiles para el Distrito Federal haya derogado las disposiciones que se le oponen del de Comercio por la sola razón de que aquel se dictó con fecha posterior a éste, puesto que las únicas disposiciones que resultaron abrogadas fueron las de las leyes procesales civiles anteriores a dicho Código y que se le oponen, más no las mercantiles que son de naturaleza diversa, conforme lo ordenó el artículo 16 transitorio del decreto que lo dio a conocer</w:t>
      </w:r>
      <w:r>
        <w:rPr>
          <w:rFonts w:ascii="Arial" w:hAnsi="Arial" w:cs="Arial"/>
          <w:i/>
          <w:szCs w:val="24"/>
        </w:rPr>
        <w:t>”</w:t>
      </w:r>
      <w:r w:rsidR="00513DBE" w:rsidRPr="00513DBE">
        <w:rPr>
          <w:rStyle w:val="Refdenotaalpie"/>
          <w:rFonts w:ascii="Arial" w:hAnsi="Arial" w:cs="Arial"/>
          <w:i/>
          <w:szCs w:val="24"/>
        </w:rPr>
        <w:footnoteReference w:id="49"/>
      </w:r>
    </w:p>
    <w:p w14:paraId="43C25C43" w14:textId="7D8F712C" w:rsidR="00070432" w:rsidRDefault="00513DBE" w:rsidP="000A39C7">
      <w:pPr>
        <w:spacing w:before="240"/>
        <w:ind w:right="49"/>
        <w:jc w:val="both"/>
        <w:rPr>
          <w:rFonts w:ascii="Arial" w:hAnsi="Arial" w:cs="Arial"/>
          <w:sz w:val="24"/>
          <w:szCs w:val="24"/>
        </w:rPr>
      </w:pPr>
      <w:r>
        <w:rPr>
          <w:rFonts w:ascii="Arial" w:hAnsi="Arial" w:cs="Arial"/>
          <w:sz w:val="24"/>
          <w:szCs w:val="24"/>
        </w:rPr>
        <w:lastRenderedPageBreak/>
        <w:t>Si se confunden los jueces locales que tienen profesión de abogado con enfoque jurisdiccional, que no se confundan elementos castrenses y de Guardia Nacional</w:t>
      </w:r>
      <w:r w:rsidR="00FF5A6C">
        <w:rPr>
          <w:rFonts w:ascii="Arial" w:hAnsi="Arial" w:cs="Arial"/>
          <w:sz w:val="24"/>
          <w:szCs w:val="24"/>
        </w:rPr>
        <w:t xml:space="preserve"> en la interpretación de las normas que deben </w:t>
      </w:r>
      <w:proofErr w:type="spellStart"/>
      <w:r w:rsidR="00FF5A6C">
        <w:rPr>
          <w:rFonts w:ascii="Arial" w:hAnsi="Arial" w:cs="Arial"/>
          <w:sz w:val="24"/>
          <w:szCs w:val="24"/>
        </w:rPr>
        <w:t>inaplicar</w:t>
      </w:r>
      <w:proofErr w:type="spellEnd"/>
      <w:r w:rsidR="00FF5A6C">
        <w:rPr>
          <w:rFonts w:ascii="Arial" w:hAnsi="Arial" w:cs="Arial"/>
          <w:sz w:val="24"/>
          <w:szCs w:val="24"/>
        </w:rPr>
        <w:t xml:space="preserve"> porque se oponen, dejando un margen de abuso de autoridad muy amplio, ya que pueden </w:t>
      </w:r>
      <w:proofErr w:type="spellStart"/>
      <w:r w:rsidR="00FF5A6C">
        <w:rPr>
          <w:rFonts w:ascii="Arial" w:hAnsi="Arial" w:cs="Arial"/>
          <w:sz w:val="24"/>
          <w:szCs w:val="24"/>
        </w:rPr>
        <w:t>inaplicar</w:t>
      </w:r>
      <w:proofErr w:type="spellEnd"/>
      <w:r w:rsidR="00FF5A6C">
        <w:rPr>
          <w:rFonts w:ascii="Arial" w:hAnsi="Arial" w:cs="Arial"/>
          <w:sz w:val="24"/>
          <w:szCs w:val="24"/>
        </w:rPr>
        <w:t xml:space="preserve"> las leyes que limitan su competencia porque a su consideración no les aplica en base al transitorio noveno que se impugna aquí. </w:t>
      </w:r>
      <w:r w:rsidR="0054084E">
        <w:rPr>
          <w:rFonts w:ascii="Arial" w:hAnsi="Arial" w:cs="Arial"/>
          <w:sz w:val="24"/>
          <w:szCs w:val="24"/>
        </w:rPr>
        <w:t xml:space="preserve"> Por ejemplo, que tal que los elementos de la Guardia Nacional consideren que se debe </w:t>
      </w:r>
      <w:proofErr w:type="spellStart"/>
      <w:r w:rsidR="0054084E">
        <w:rPr>
          <w:rFonts w:ascii="Arial" w:hAnsi="Arial" w:cs="Arial"/>
          <w:sz w:val="24"/>
          <w:szCs w:val="24"/>
        </w:rPr>
        <w:t>inaplicar</w:t>
      </w:r>
      <w:proofErr w:type="spellEnd"/>
      <w:r w:rsidR="0054084E">
        <w:rPr>
          <w:rFonts w:ascii="Arial" w:hAnsi="Arial" w:cs="Arial"/>
          <w:sz w:val="24"/>
          <w:szCs w:val="24"/>
        </w:rPr>
        <w:t xml:space="preserve"> porque se opone a la norma general aquí reclamada el artículo 27 de la Ley del Uso de la Fuerza:</w:t>
      </w:r>
    </w:p>
    <w:p w14:paraId="03B1A95D" w14:textId="1F2C3239" w:rsidR="0054084E" w:rsidRDefault="0054084E" w:rsidP="0054084E">
      <w:pPr>
        <w:spacing w:before="240"/>
        <w:ind w:left="708" w:right="49"/>
        <w:jc w:val="both"/>
        <w:rPr>
          <w:rFonts w:ascii="Arial" w:hAnsi="Arial" w:cs="Arial"/>
          <w:i/>
          <w:sz w:val="20"/>
        </w:rPr>
      </w:pPr>
      <w:r>
        <w:rPr>
          <w:rFonts w:ascii="Arial" w:hAnsi="Arial" w:cs="Arial"/>
          <w:i/>
          <w:sz w:val="20"/>
        </w:rPr>
        <w:t>“</w:t>
      </w:r>
      <w:r w:rsidRPr="0054084E">
        <w:rPr>
          <w:rFonts w:ascii="Arial" w:hAnsi="Arial" w:cs="Arial"/>
          <w:i/>
          <w:sz w:val="20"/>
        </w:rPr>
        <w:t xml:space="preserve">Artículo 27. Por ningún motivo se podrá hacer uso de armas contra quienes participen en manifestaciones o reuniones públicas pacíficas con objeto lícito. </w:t>
      </w:r>
    </w:p>
    <w:p w14:paraId="0FB17E95" w14:textId="77777777" w:rsidR="0054084E" w:rsidRDefault="0054084E" w:rsidP="0054084E">
      <w:pPr>
        <w:spacing w:before="240"/>
        <w:ind w:left="708" w:right="49"/>
        <w:jc w:val="both"/>
        <w:rPr>
          <w:rFonts w:ascii="Arial" w:hAnsi="Arial" w:cs="Arial"/>
          <w:i/>
          <w:sz w:val="20"/>
        </w:rPr>
      </w:pPr>
      <w:r w:rsidRPr="0054084E">
        <w:rPr>
          <w:rFonts w:ascii="Arial" w:hAnsi="Arial" w:cs="Arial"/>
          <w:i/>
          <w:sz w:val="20"/>
        </w:rPr>
        <w:t>En estos casos, la actuación policial deberá asegurar la protección de los manifestantes y los derechos de terceros, así como garantizar la paz y el orden públicos.</w:t>
      </w:r>
    </w:p>
    <w:p w14:paraId="6BBA221E" w14:textId="62E4C91A" w:rsidR="0054084E" w:rsidRPr="0054084E" w:rsidRDefault="0054084E" w:rsidP="0054084E">
      <w:pPr>
        <w:spacing w:before="240"/>
        <w:ind w:left="708" w:right="49"/>
        <w:jc w:val="both"/>
        <w:rPr>
          <w:rFonts w:ascii="Arial" w:hAnsi="Arial" w:cs="Arial"/>
          <w:i/>
          <w:sz w:val="24"/>
          <w:szCs w:val="24"/>
        </w:rPr>
      </w:pPr>
      <w:r w:rsidRPr="0054084E">
        <w:rPr>
          <w:rFonts w:ascii="Arial" w:hAnsi="Arial" w:cs="Arial"/>
          <w:i/>
          <w:sz w:val="20"/>
        </w:rPr>
        <w:t xml:space="preserve"> La intervención de las fuerzas de seguridad pública deberá hacerse por personas con experiencia y capacitación específicas para dichas situaciones y bajo protocolos de actuación emitidos por el Consejo del Sistema Nacional de Seguridad Pública</w:t>
      </w:r>
      <w:r w:rsidRPr="0054084E">
        <w:rPr>
          <w:i/>
        </w:rPr>
        <w:t>.</w:t>
      </w:r>
      <w:r>
        <w:rPr>
          <w:i/>
        </w:rPr>
        <w:t>”</w:t>
      </w:r>
    </w:p>
    <w:p w14:paraId="1DF18C1B" w14:textId="14AEF986" w:rsidR="009524F9" w:rsidRDefault="00DE3E25" w:rsidP="009524F9">
      <w:pPr>
        <w:spacing w:before="240"/>
        <w:ind w:right="49"/>
        <w:jc w:val="both"/>
        <w:rPr>
          <w:rFonts w:ascii="Arial" w:hAnsi="Arial" w:cs="Arial"/>
          <w:sz w:val="24"/>
        </w:rPr>
      </w:pPr>
      <w:r>
        <w:rPr>
          <w:rFonts w:ascii="Arial" w:hAnsi="Arial" w:cs="Arial"/>
          <w:b/>
          <w:sz w:val="24"/>
          <w:szCs w:val="24"/>
        </w:rPr>
        <w:t>SEXTO</w:t>
      </w:r>
      <w:r w:rsidR="007D23FB" w:rsidRPr="007D23FB">
        <w:rPr>
          <w:rFonts w:ascii="Arial" w:hAnsi="Arial" w:cs="Arial"/>
          <w:b/>
          <w:sz w:val="24"/>
          <w:szCs w:val="24"/>
        </w:rPr>
        <w:t>.</w:t>
      </w:r>
      <w:r w:rsidR="007D23FB">
        <w:rPr>
          <w:rFonts w:ascii="Arial" w:hAnsi="Arial" w:cs="Arial"/>
          <w:b/>
          <w:sz w:val="24"/>
          <w:szCs w:val="24"/>
        </w:rPr>
        <w:t xml:space="preserve"> </w:t>
      </w:r>
      <w:r w:rsidR="00296691">
        <w:rPr>
          <w:rFonts w:ascii="Arial" w:hAnsi="Arial" w:cs="Arial"/>
          <w:b/>
        </w:rPr>
        <w:t xml:space="preserve">En cuanto </w:t>
      </w:r>
      <w:r w:rsidR="006555F9">
        <w:rPr>
          <w:rFonts w:ascii="Arial" w:hAnsi="Arial" w:cs="Arial"/>
          <w:b/>
        </w:rPr>
        <w:t xml:space="preserve">a la competencia del Senado para ratificar </w:t>
      </w:r>
      <w:r w:rsidR="003F4257">
        <w:rPr>
          <w:rFonts w:ascii="Arial" w:hAnsi="Arial" w:cs="Arial"/>
          <w:b/>
        </w:rPr>
        <w:t>el nombramiento designado de los jefes de superiores d</w:t>
      </w:r>
      <w:r w:rsidR="006555F9">
        <w:rPr>
          <w:rFonts w:ascii="Arial" w:hAnsi="Arial" w:cs="Arial"/>
          <w:b/>
        </w:rPr>
        <w:t xml:space="preserve">e la Guardia Nacional. </w:t>
      </w:r>
      <w:r w:rsidR="00296691" w:rsidRPr="00E321AC">
        <w:rPr>
          <w:rFonts w:ascii="Arial" w:hAnsi="Arial" w:cs="Arial"/>
          <w:bCs/>
          <w:sz w:val="24"/>
          <w:szCs w:val="24"/>
        </w:rPr>
        <w:t>Las normas generales reclamadas transgreden en nuestro perjuicio el artículo</w:t>
      </w:r>
      <w:r w:rsidR="009524F9">
        <w:rPr>
          <w:rFonts w:ascii="Arial" w:hAnsi="Arial" w:cs="Arial"/>
          <w:sz w:val="24"/>
          <w:szCs w:val="24"/>
          <w:shd w:val="clear" w:color="auto" w:fill="FFFFFF"/>
        </w:rPr>
        <w:t xml:space="preserve"> 76, fracción II</w:t>
      </w:r>
      <w:r w:rsidR="009524F9">
        <w:rPr>
          <w:rStyle w:val="Refdenotaalpie"/>
          <w:rFonts w:ascii="Arial" w:hAnsi="Arial" w:cs="Arial"/>
          <w:sz w:val="24"/>
          <w:szCs w:val="24"/>
          <w:shd w:val="clear" w:color="auto" w:fill="FFFFFF"/>
        </w:rPr>
        <w:footnoteReference w:id="50"/>
      </w:r>
      <w:r w:rsidR="001A2748">
        <w:rPr>
          <w:rFonts w:ascii="Arial" w:hAnsi="Arial" w:cs="Arial"/>
          <w:sz w:val="24"/>
          <w:szCs w:val="24"/>
          <w:shd w:val="clear" w:color="auto" w:fill="FFFFFF"/>
        </w:rPr>
        <w:t xml:space="preserve"> en relación con el 16</w:t>
      </w:r>
      <w:r w:rsidR="009524F9">
        <w:rPr>
          <w:rFonts w:ascii="Arial" w:hAnsi="Arial" w:cs="Arial"/>
          <w:sz w:val="24"/>
          <w:szCs w:val="24"/>
          <w:shd w:val="clear" w:color="auto" w:fill="FFFFFF"/>
        </w:rPr>
        <w:t xml:space="preserve"> </w:t>
      </w:r>
      <w:r w:rsidR="001A2748">
        <w:rPr>
          <w:rFonts w:ascii="Arial" w:hAnsi="Arial" w:cs="Arial"/>
          <w:sz w:val="24"/>
          <w:szCs w:val="24"/>
          <w:shd w:val="clear" w:color="auto" w:fill="FFFFFF"/>
        </w:rPr>
        <w:t xml:space="preserve">y 21 </w:t>
      </w:r>
      <w:r w:rsidR="009524F9">
        <w:rPr>
          <w:rFonts w:ascii="Arial" w:hAnsi="Arial" w:cs="Arial"/>
          <w:sz w:val="24"/>
          <w:szCs w:val="24"/>
          <w:shd w:val="clear" w:color="auto" w:fill="FFFFFF"/>
        </w:rPr>
        <w:t>de la Constitución General de la República, porque no considera en la norma reclamada la ratificación que debe hacer el Senado de este Comandante de la Guardia Nacional, como facultad exclusiva del Senado, porque dicho cargo</w:t>
      </w:r>
      <w:r w:rsidR="00500F1E">
        <w:rPr>
          <w:rFonts w:ascii="Arial" w:hAnsi="Arial" w:cs="Arial"/>
          <w:sz w:val="24"/>
          <w:szCs w:val="24"/>
          <w:shd w:val="clear" w:color="auto" w:fill="FFFFFF"/>
        </w:rPr>
        <w:t xml:space="preserve"> de la Guardia Nacional</w:t>
      </w:r>
      <w:r w:rsidR="009524F9">
        <w:rPr>
          <w:rFonts w:ascii="Arial" w:hAnsi="Arial" w:cs="Arial"/>
          <w:sz w:val="24"/>
          <w:szCs w:val="24"/>
          <w:shd w:val="clear" w:color="auto" w:fill="FFFFFF"/>
        </w:rPr>
        <w:t xml:space="preserve"> implícitamente ya es equivalente en grado a los</w:t>
      </w:r>
      <w:r w:rsidR="009524F9" w:rsidRPr="00290CCF">
        <w:rPr>
          <w:rFonts w:ascii="Arial" w:hAnsi="Arial" w:cs="Arial"/>
          <w:sz w:val="24"/>
        </w:rPr>
        <w:t xml:space="preserve"> demás jefes superiores del Ejército, Armada y Fuerza Aérea Nacionales</w:t>
      </w:r>
      <w:r w:rsidR="009524F9">
        <w:rPr>
          <w:rFonts w:ascii="Arial" w:hAnsi="Arial" w:cs="Arial"/>
          <w:sz w:val="24"/>
        </w:rPr>
        <w:t xml:space="preserve">, </w:t>
      </w:r>
      <w:r w:rsidR="00500F1E">
        <w:rPr>
          <w:rFonts w:ascii="Arial" w:hAnsi="Arial" w:cs="Arial"/>
          <w:sz w:val="24"/>
        </w:rPr>
        <w:t xml:space="preserve">porque pertenece a la Secretaría de la Defensa Nacional, </w:t>
      </w:r>
      <w:r w:rsidR="009524F9">
        <w:rPr>
          <w:rFonts w:ascii="Arial" w:hAnsi="Arial" w:cs="Arial"/>
          <w:sz w:val="24"/>
        </w:rPr>
        <w:t>de conformidad con el artículo 32 BIS de la Ley de la Guardia Nacional también impugnado.</w:t>
      </w:r>
    </w:p>
    <w:p w14:paraId="41FB0619" w14:textId="77777777" w:rsidR="00FF5A6C" w:rsidRDefault="00FF5A6C" w:rsidP="00FF5A6C">
      <w:pPr>
        <w:spacing w:before="240"/>
        <w:ind w:right="49"/>
        <w:jc w:val="both"/>
        <w:rPr>
          <w:rFonts w:ascii="Arial" w:hAnsi="Arial" w:cs="Arial"/>
          <w:sz w:val="24"/>
        </w:rPr>
      </w:pPr>
      <w:r>
        <w:rPr>
          <w:rFonts w:ascii="Arial" w:hAnsi="Arial" w:cs="Arial"/>
          <w:sz w:val="24"/>
          <w:szCs w:val="24"/>
          <w:shd w:val="clear" w:color="auto" w:fill="FFFFFF"/>
        </w:rPr>
        <w:t>El artículo 86,</w:t>
      </w:r>
      <w:r w:rsidRPr="001E08AB">
        <w:rPr>
          <w:rFonts w:ascii="Arial" w:hAnsi="Arial" w:cs="Arial"/>
          <w:sz w:val="24"/>
          <w:szCs w:val="24"/>
          <w:shd w:val="clear" w:color="auto" w:fill="FFFFFF"/>
        </w:rPr>
        <w:t xml:space="preserve"> </w:t>
      </w:r>
      <w:r>
        <w:rPr>
          <w:rFonts w:ascii="Arial" w:hAnsi="Arial" w:cs="Arial"/>
          <w:sz w:val="24"/>
          <w:szCs w:val="24"/>
          <w:shd w:val="clear" w:color="auto" w:fill="FFFFFF"/>
        </w:rPr>
        <w:t>fracción III, de la Ley de la Guardia Nacional, también es inconstitucional por ser contrario al artículo 76, fracción II, de la Constitución General de la República, porque no considera en la norma reclamada la ratificación que debe hacer el Senado del cargo del Secretario de la Defensa Nacional designado por el presidente, siendo que la ratificación es facultad exclusiva del Senado</w:t>
      </w:r>
      <w:r>
        <w:rPr>
          <w:rFonts w:ascii="Arial" w:hAnsi="Arial" w:cs="Arial"/>
          <w:sz w:val="24"/>
        </w:rPr>
        <w:t>.</w:t>
      </w:r>
    </w:p>
    <w:p w14:paraId="2ECAD26F" w14:textId="79B7E4FC" w:rsidR="001A2748" w:rsidRDefault="001A2748" w:rsidP="00FF5A6C">
      <w:pPr>
        <w:spacing w:before="240"/>
        <w:ind w:right="49"/>
        <w:jc w:val="both"/>
        <w:rPr>
          <w:rFonts w:ascii="Arial" w:hAnsi="Arial" w:cs="Arial"/>
          <w:sz w:val="24"/>
          <w:szCs w:val="24"/>
          <w:shd w:val="clear" w:color="auto" w:fill="FFFFFF"/>
        </w:rPr>
      </w:pPr>
      <w:r w:rsidRPr="001A2748">
        <w:rPr>
          <w:rFonts w:ascii="Arial" w:hAnsi="Arial" w:cs="Arial"/>
          <w:sz w:val="24"/>
          <w:szCs w:val="24"/>
        </w:rPr>
        <w:t>El</w:t>
      </w:r>
      <w:r>
        <w:rPr>
          <w:rFonts w:ascii="Arial" w:hAnsi="Arial" w:cs="Arial"/>
          <w:sz w:val="24"/>
          <w:szCs w:val="24"/>
        </w:rPr>
        <w:t xml:space="preserve"> </w:t>
      </w:r>
      <w:r w:rsidRPr="001A2748">
        <w:rPr>
          <w:rFonts w:ascii="Arial" w:hAnsi="Arial" w:cs="Arial"/>
          <w:sz w:val="24"/>
          <w:szCs w:val="24"/>
        </w:rPr>
        <w:t xml:space="preserve">Artículo Tercero Transitorio del Decreto también es </w:t>
      </w:r>
      <w:r>
        <w:rPr>
          <w:rFonts w:ascii="Arial" w:hAnsi="Arial" w:cs="Arial"/>
          <w:sz w:val="24"/>
          <w:szCs w:val="24"/>
        </w:rPr>
        <w:t>inconstitucional porque sin fundar y motivar le da facultades al Presidente responsable y a la Secretaría de la Defensa Nacional para designar a la persona titular de la Comandancia de la Guardia Nacional, sin que se tenga certeza respecto de la formación profesional de la persona que ocupe dicho cargo, dejando en incertidumbre jurídica a los aquí quejosos ante un abuso de autoridad.</w:t>
      </w:r>
    </w:p>
    <w:p w14:paraId="25E1E90B" w14:textId="798ED0E4" w:rsidR="00500F1E" w:rsidRDefault="009524F9" w:rsidP="00500F1E">
      <w:pPr>
        <w:spacing w:before="240"/>
        <w:ind w:right="49"/>
        <w:jc w:val="both"/>
        <w:rPr>
          <w:rFonts w:ascii="Arial" w:hAnsi="Arial" w:cs="Arial"/>
          <w:sz w:val="24"/>
          <w:szCs w:val="24"/>
        </w:rPr>
      </w:pPr>
      <w:r>
        <w:rPr>
          <w:rFonts w:ascii="Arial" w:hAnsi="Arial" w:cs="Arial"/>
          <w:b/>
          <w:sz w:val="24"/>
          <w:szCs w:val="24"/>
        </w:rPr>
        <w:t xml:space="preserve">SÉPTIMO. </w:t>
      </w:r>
      <w:r w:rsidR="00DE3E25">
        <w:rPr>
          <w:rFonts w:ascii="Arial" w:hAnsi="Arial" w:cs="Arial"/>
          <w:b/>
          <w:sz w:val="24"/>
          <w:szCs w:val="24"/>
        </w:rPr>
        <w:t>En cuanto</w:t>
      </w:r>
      <w:r w:rsidR="00DC636F">
        <w:rPr>
          <w:rFonts w:ascii="Arial" w:hAnsi="Arial" w:cs="Arial"/>
          <w:b/>
          <w:sz w:val="24"/>
          <w:szCs w:val="24"/>
        </w:rPr>
        <w:t xml:space="preserve"> al apoyo y presupuesto de seguridad pública. </w:t>
      </w:r>
      <w:r w:rsidR="00500F1E" w:rsidRPr="00E321AC">
        <w:rPr>
          <w:rFonts w:ascii="Arial" w:hAnsi="Arial" w:cs="Arial"/>
          <w:bCs/>
          <w:sz w:val="24"/>
          <w:szCs w:val="24"/>
        </w:rPr>
        <w:t xml:space="preserve">Las normas generales reclamadas transgreden en nuestro perjuicio el artículo </w:t>
      </w:r>
      <w:r w:rsidR="00474B22" w:rsidRPr="00474B22">
        <w:rPr>
          <w:rFonts w:ascii="Arial" w:hAnsi="Arial" w:cs="Arial"/>
          <w:b/>
          <w:bCs/>
          <w:sz w:val="24"/>
          <w:szCs w:val="24"/>
        </w:rPr>
        <w:t>6,</w:t>
      </w:r>
      <w:r w:rsidR="00474B22">
        <w:rPr>
          <w:rFonts w:ascii="Arial" w:hAnsi="Arial" w:cs="Arial"/>
          <w:bCs/>
          <w:sz w:val="24"/>
          <w:szCs w:val="24"/>
        </w:rPr>
        <w:t xml:space="preserve"> </w:t>
      </w:r>
      <w:r w:rsidR="00474B22" w:rsidRPr="00474B22">
        <w:rPr>
          <w:rFonts w:ascii="Arial" w:hAnsi="Arial" w:cs="Arial"/>
          <w:b/>
          <w:bCs/>
          <w:sz w:val="24"/>
          <w:szCs w:val="24"/>
        </w:rPr>
        <w:t>14, 16,</w:t>
      </w:r>
      <w:r w:rsidR="00474B22">
        <w:rPr>
          <w:rFonts w:ascii="Arial" w:hAnsi="Arial" w:cs="Arial"/>
          <w:bCs/>
          <w:sz w:val="24"/>
          <w:szCs w:val="24"/>
        </w:rPr>
        <w:t xml:space="preserve"> </w:t>
      </w:r>
      <w:r w:rsidR="00500F1E" w:rsidRPr="00E321AC">
        <w:rPr>
          <w:rFonts w:ascii="Arial" w:hAnsi="Arial" w:cs="Arial"/>
          <w:b/>
          <w:sz w:val="24"/>
          <w:szCs w:val="24"/>
        </w:rPr>
        <w:t>21</w:t>
      </w:r>
      <w:r w:rsidR="00474B22">
        <w:rPr>
          <w:rFonts w:ascii="Arial" w:hAnsi="Arial" w:cs="Arial"/>
          <w:b/>
          <w:sz w:val="24"/>
          <w:szCs w:val="24"/>
        </w:rPr>
        <w:t xml:space="preserve">, </w:t>
      </w:r>
      <w:r w:rsidR="00474B22">
        <w:rPr>
          <w:rFonts w:ascii="Arial" w:hAnsi="Arial" w:cs="Arial"/>
          <w:sz w:val="24"/>
          <w:szCs w:val="24"/>
        </w:rPr>
        <w:t>párrafo décimo quinto</w:t>
      </w:r>
      <w:r w:rsidR="00474B22">
        <w:rPr>
          <w:rFonts w:ascii="Arial" w:hAnsi="Arial" w:cs="Arial"/>
          <w:b/>
          <w:sz w:val="24"/>
          <w:szCs w:val="24"/>
        </w:rPr>
        <w:t>, 74, fracción IV</w:t>
      </w:r>
      <w:r w:rsidR="00500F1E">
        <w:rPr>
          <w:rFonts w:ascii="Arial" w:hAnsi="Arial" w:cs="Arial"/>
          <w:sz w:val="24"/>
          <w:szCs w:val="24"/>
        </w:rPr>
        <w:t xml:space="preserve"> </w:t>
      </w:r>
      <w:r w:rsidR="00474B22">
        <w:rPr>
          <w:rFonts w:ascii="Arial" w:hAnsi="Arial" w:cs="Arial"/>
          <w:sz w:val="24"/>
          <w:szCs w:val="24"/>
        </w:rPr>
        <w:t xml:space="preserve">y </w:t>
      </w:r>
      <w:r w:rsidR="00474B22" w:rsidRPr="00474B22">
        <w:rPr>
          <w:rFonts w:ascii="Arial" w:hAnsi="Arial" w:cs="Arial"/>
          <w:b/>
          <w:sz w:val="24"/>
          <w:szCs w:val="24"/>
        </w:rPr>
        <w:t>134</w:t>
      </w:r>
      <w:r w:rsidR="00474B22">
        <w:rPr>
          <w:rFonts w:ascii="Arial" w:hAnsi="Arial" w:cs="Arial"/>
          <w:sz w:val="24"/>
          <w:szCs w:val="24"/>
        </w:rPr>
        <w:t xml:space="preserve"> </w:t>
      </w:r>
      <w:r w:rsidR="00500F1E" w:rsidRPr="00E321AC">
        <w:rPr>
          <w:rFonts w:ascii="Arial" w:hAnsi="Arial" w:cs="Arial"/>
          <w:sz w:val="24"/>
          <w:szCs w:val="24"/>
        </w:rPr>
        <w:t xml:space="preserve">de la Constitución Política </w:t>
      </w:r>
      <w:r w:rsidR="00500F1E">
        <w:rPr>
          <w:rFonts w:ascii="Arial" w:hAnsi="Arial" w:cs="Arial"/>
          <w:sz w:val="24"/>
          <w:szCs w:val="24"/>
        </w:rPr>
        <w:t>de los Estados Unidos Mexicanos, en especial el, como se demostrará a continuación:</w:t>
      </w:r>
    </w:p>
    <w:p w14:paraId="66B60D4E" w14:textId="0BBB87BA" w:rsidR="00500F1E" w:rsidRPr="00E321AC" w:rsidRDefault="00500F1E" w:rsidP="00500F1E">
      <w:pPr>
        <w:spacing w:before="240"/>
        <w:ind w:left="708" w:right="49"/>
        <w:jc w:val="both"/>
        <w:rPr>
          <w:rFonts w:ascii="Arial" w:hAnsi="Arial" w:cs="Arial"/>
          <w:i/>
        </w:rPr>
      </w:pPr>
      <w:r w:rsidRPr="006C3FF3">
        <w:rPr>
          <w:rFonts w:ascii="Arial" w:hAnsi="Arial" w:cs="Arial"/>
          <w:b/>
          <w:i/>
        </w:rPr>
        <w:t>Artículo 21</w:t>
      </w:r>
      <w:r w:rsidRPr="006C3FF3">
        <w:rPr>
          <w:rFonts w:ascii="Arial" w:hAnsi="Arial" w:cs="Arial"/>
          <w:i/>
        </w:rPr>
        <w:t>.</w:t>
      </w:r>
      <w:r>
        <w:rPr>
          <w:rFonts w:ascii="Arial" w:hAnsi="Arial" w:cs="Arial"/>
          <w:i/>
        </w:rPr>
        <w:t xml:space="preserve"> […] (Párrafo décimo </w:t>
      </w:r>
      <w:r w:rsidR="00542B59">
        <w:rPr>
          <w:rFonts w:ascii="Arial" w:hAnsi="Arial" w:cs="Arial"/>
          <w:i/>
        </w:rPr>
        <w:t>quinto</w:t>
      </w:r>
      <w:r>
        <w:rPr>
          <w:rFonts w:ascii="Arial" w:hAnsi="Arial" w:cs="Arial"/>
          <w:i/>
        </w:rPr>
        <w:t>)</w:t>
      </w:r>
    </w:p>
    <w:p w14:paraId="5D4DDC3E" w14:textId="48809A5E" w:rsidR="00542B59" w:rsidRPr="00E321AC" w:rsidRDefault="00542B59" w:rsidP="00542B59">
      <w:pPr>
        <w:ind w:left="708"/>
        <w:jc w:val="both"/>
        <w:rPr>
          <w:rFonts w:ascii="Arial" w:hAnsi="Arial" w:cs="Arial"/>
          <w:b/>
          <w:i/>
        </w:rPr>
      </w:pPr>
      <w:r w:rsidRPr="00E321AC">
        <w:rPr>
          <w:rFonts w:ascii="Arial" w:hAnsi="Arial" w:cs="Arial"/>
          <w:b/>
          <w:i/>
        </w:rPr>
        <w:t>e) Los fondos de ayuda federal para la seguridad pública, a nivel nacional serán aportados a las entidades federativas y municipios para ser destinados exclusivamente a estos fines.</w:t>
      </w:r>
      <w:r>
        <w:rPr>
          <w:rFonts w:ascii="Arial" w:hAnsi="Arial" w:cs="Arial"/>
          <w:b/>
          <w:i/>
        </w:rPr>
        <w:t xml:space="preserve"> […]</w:t>
      </w:r>
    </w:p>
    <w:p w14:paraId="48C7E3FC" w14:textId="45832351" w:rsidR="00474B22" w:rsidRPr="00474B22" w:rsidRDefault="00474B22" w:rsidP="00474B22">
      <w:pPr>
        <w:ind w:left="708"/>
        <w:jc w:val="both"/>
        <w:rPr>
          <w:rFonts w:ascii="Arial" w:hAnsi="Arial" w:cs="Arial"/>
          <w:i/>
        </w:rPr>
      </w:pPr>
      <w:r w:rsidRPr="00474B22">
        <w:rPr>
          <w:rFonts w:ascii="Arial" w:hAnsi="Arial" w:cs="Arial"/>
        </w:rPr>
        <w:lastRenderedPageBreak/>
        <w:t>Artículo 74. Son facultades exclusivas de la Cámara de Diputados:</w:t>
      </w:r>
    </w:p>
    <w:p w14:paraId="0A754E7C" w14:textId="2D8772A8" w:rsidR="00A65462" w:rsidRDefault="00474B22" w:rsidP="00474B22">
      <w:pPr>
        <w:ind w:left="708"/>
        <w:jc w:val="both"/>
        <w:rPr>
          <w:rFonts w:ascii="Arial" w:hAnsi="Arial" w:cs="Arial"/>
          <w:i/>
        </w:rPr>
      </w:pPr>
      <w:r w:rsidRPr="00474B22">
        <w:rPr>
          <w:rFonts w:ascii="Arial" w:hAnsi="Arial" w:cs="Arial"/>
          <w:i/>
        </w:rPr>
        <w:t>IV. Aprobar anualmente el Presupuesto de Egresos de la Federación, previo examen, discusión y, en su caso, modificación del Proyecto enviado por el Ejecutivo Federal, una vez aprobadas las contribuciones que, a su juicio, deben decretarse para cubrirlo. Asimismo, podrá autorizar en dicho Presupuesto las erogaciones plurianuales para aquellos proyectos de inversión en infraestructura que se determinen conforme a lo dispuesto en la ley reglamentaria; las erogaciones correspondientes deberán incluirse en los subsecuentes Presupuestos de Egresos.</w:t>
      </w:r>
    </w:p>
    <w:p w14:paraId="584F40B6" w14:textId="0EBA5085" w:rsidR="00474B22" w:rsidRPr="00474B22" w:rsidRDefault="00474B22" w:rsidP="00474B22">
      <w:pPr>
        <w:jc w:val="both"/>
        <w:rPr>
          <w:rFonts w:ascii="Arial" w:hAnsi="Arial" w:cs="Arial"/>
          <w:b/>
          <w:sz w:val="28"/>
          <w:szCs w:val="24"/>
          <w:shd w:val="clear" w:color="auto" w:fill="FFFFFF"/>
        </w:rPr>
      </w:pPr>
      <w:r w:rsidRPr="00474B22">
        <w:rPr>
          <w:rFonts w:ascii="Arial" w:hAnsi="Arial" w:cs="Arial"/>
          <w:sz w:val="24"/>
        </w:rPr>
        <w:t xml:space="preserve">Los artículos Quinto, Sexto, Séptimo y Octavo son inconstitucionales por disponer del presupuesto </w:t>
      </w:r>
      <w:r>
        <w:rPr>
          <w:rFonts w:ascii="Arial" w:hAnsi="Arial" w:cs="Arial"/>
          <w:sz w:val="24"/>
        </w:rPr>
        <w:t xml:space="preserve">público sin respetar el procedimiento legislativo específico para aprobar el Presupuesto de Egresos de la Federación, afectando el derecho de seguridad jurídica y buena administración de los recursos económicos públicos de la federación, para deformar al carácter militar una institución policía que Constitucionalmente debe ser civil, exponiendo a la población a que se afecte la transparencia del manejo y administración de dichos recursos y estas normas por tanto obstaculizan y afectan el derecho de acceso a la información pública relativa toda vez que podrían censurar dicha información y no expedirla por considerarla de seguridad nacional al ser información de la Secretaría de la Defensa Nacional. </w:t>
      </w:r>
    </w:p>
    <w:p w14:paraId="5C732628" w14:textId="1782C8DD" w:rsidR="00794E6D" w:rsidRPr="00067CFF" w:rsidRDefault="009524F9" w:rsidP="00794E6D">
      <w:pPr>
        <w:jc w:val="both"/>
        <w:rPr>
          <w:rFonts w:ascii="Arial" w:hAnsi="Arial" w:cs="Arial"/>
          <w:sz w:val="24"/>
          <w:szCs w:val="24"/>
          <w:lang w:val="es-ES"/>
        </w:rPr>
      </w:pPr>
      <w:r>
        <w:rPr>
          <w:rFonts w:ascii="Arial" w:hAnsi="Arial" w:cs="Arial"/>
          <w:b/>
          <w:sz w:val="24"/>
          <w:szCs w:val="24"/>
          <w:shd w:val="clear" w:color="auto" w:fill="FFFFFF"/>
        </w:rPr>
        <w:t>OCTAVO</w:t>
      </w:r>
      <w:r w:rsidR="009B062D" w:rsidRPr="00FA3DD8">
        <w:rPr>
          <w:rFonts w:ascii="Arial" w:hAnsi="Arial" w:cs="Arial"/>
          <w:b/>
          <w:sz w:val="24"/>
          <w:szCs w:val="24"/>
          <w:shd w:val="clear" w:color="auto" w:fill="FFFFFF"/>
        </w:rPr>
        <w:t>.</w:t>
      </w:r>
      <w:r w:rsidR="00794E6D" w:rsidRPr="00794E6D">
        <w:rPr>
          <w:rFonts w:ascii="Arial" w:hAnsi="Arial" w:cs="Arial"/>
          <w:sz w:val="24"/>
          <w:szCs w:val="24"/>
          <w:lang w:val="es-ES"/>
        </w:rPr>
        <w:t xml:space="preserve"> </w:t>
      </w:r>
      <w:r w:rsidR="007057F7" w:rsidRPr="007057F7">
        <w:rPr>
          <w:rFonts w:ascii="Arial" w:hAnsi="Arial" w:cs="Arial"/>
          <w:b/>
          <w:sz w:val="24"/>
          <w:szCs w:val="24"/>
          <w:lang w:val="es-ES"/>
        </w:rPr>
        <w:t>En cuanto a la afectación</w:t>
      </w:r>
      <w:r>
        <w:rPr>
          <w:rFonts w:ascii="Arial" w:hAnsi="Arial" w:cs="Arial"/>
          <w:b/>
          <w:sz w:val="24"/>
          <w:szCs w:val="24"/>
          <w:lang w:val="es-ES"/>
        </w:rPr>
        <w:t xml:space="preserve"> que generan las normas reclamadas</w:t>
      </w:r>
      <w:r w:rsidR="007057F7" w:rsidRPr="007057F7">
        <w:rPr>
          <w:rFonts w:ascii="Arial" w:hAnsi="Arial" w:cs="Arial"/>
          <w:b/>
          <w:sz w:val="24"/>
          <w:szCs w:val="24"/>
          <w:lang w:val="es-ES"/>
        </w:rPr>
        <w:t xml:space="preserve"> a la democracia</w:t>
      </w:r>
      <w:r w:rsidR="007057F7">
        <w:rPr>
          <w:rFonts w:ascii="Arial" w:hAnsi="Arial" w:cs="Arial"/>
          <w:sz w:val="24"/>
          <w:szCs w:val="24"/>
          <w:lang w:val="es-ES"/>
        </w:rPr>
        <w:t xml:space="preserve">. </w:t>
      </w:r>
      <w:r w:rsidR="00794E6D" w:rsidRPr="00067CFF">
        <w:rPr>
          <w:rFonts w:ascii="Arial" w:hAnsi="Arial" w:cs="Arial"/>
          <w:sz w:val="24"/>
          <w:szCs w:val="24"/>
          <w:lang w:val="es-ES"/>
        </w:rPr>
        <w:t>Se conculca en mi perjuicio, el artículo 21 constitucional que a la letra señala:</w:t>
      </w:r>
    </w:p>
    <w:p w14:paraId="488BB249" w14:textId="77777777" w:rsidR="00794E6D" w:rsidRPr="00E91727" w:rsidRDefault="00794E6D" w:rsidP="00794E6D">
      <w:pPr>
        <w:pStyle w:val="Texto"/>
        <w:spacing w:after="0" w:line="240" w:lineRule="auto"/>
        <w:rPr>
          <w:i/>
          <w:iCs/>
          <w:sz w:val="22"/>
          <w:szCs w:val="22"/>
        </w:rPr>
      </w:pPr>
      <w:r w:rsidRPr="00E91727">
        <w:rPr>
          <w:i/>
          <w:iCs/>
          <w:sz w:val="22"/>
          <w:szCs w:val="22"/>
          <w:lang w:val="es-ES"/>
        </w:rPr>
        <w:t>“</w:t>
      </w:r>
      <w:r w:rsidRPr="00E91727">
        <w:rPr>
          <w:i/>
          <w:iCs/>
          <w:sz w:val="22"/>
          <w:szCs w:val="22"/>
        </w:rPr>
        <w:t>La seguridad pública es una función del Estado a cargo de la Federación, las entidades federativas y los Municipios, cuyos fines son salvaguardar la vida, las libertades, la integridad y el patrimonio de las personas, así como contribuir a la generación y preservación del orden público y la paz social, de conformidad con lo previsto en esta Constitución y las leyes en la materia. La seguridad pública comprende la prevención, investigación y persecución de los delitos,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honradez y respeto a los derechos humanos reconocidos en esta Constitución.</w:t>
      </w:r>
    </w:p>
    <w:p w14:paraId="3243679F" w14:textId="77777777" w:rsidR="00794E6D" w:rsidRPr="00E91727" w:rsidRDefault="00794E6D" w:rsidP="00794E6D">
      <w:pPr>
        <w:pStyle w:val="Textosinformato"/>
        <w:jc w:val="right"/>
        <w:rPr>
          <w:rFonts w:ascii="Times New Roman" w:eastAsia="MS Mincho" w:hAnsi="Times New Roman"/>
          <w:i/>
          <w:iCs/>
          <w:color w:val="0000FF"/>
          <w:lang w:val="es-MX"/>
        </w:rPr>
      </w:pPr>
      <w:r w:rsidRPr="00E91727">
        <w:rPr>
          <w:rFonts w:ascii="Times New Roman" w:eastAsia="MS Mincho" w:hAnsi="Times New Roman"/>
          <w:i/>
          <w:iCs/>
          <w:color w:val="0000FF"/>
          <w:lang w:val="es-MX"/>
        </w:rPr>
        <w:t>Párrafo reformado DOF 29-01-2016, 26-03-2019</w:t>
      </w:r>
    </w:p>
    <w:p w14:paraId="5EEB1514" w14:textId="77777777" w:rsidR="00794E6D" w:rsidRPr="00E91727" w:rsidRDefault="00794E6D" w:rsidP="00794E6D">
      <w:pPr>
        <w:pStyle w:val="Texto"/>
        <w:spacing w:after="0" w:line="240" w:lineRule="auto"/>
        <w:rPr>
          <w:i/>
          <w:iCs/>
          <w:sz w:val="20"/>
          <w:szCs w:val="20"/>
        </w:rPr>
      </w:pPr>
    </w:p>
    <w:p w14:paraId="7B9483B1" w14:textId="77777777" w:rsidR="00794E6D" w:rsidRPr="00327A32" w:rsidRDefault="00794E6D" w:rsidP="00794E6D">
      <w:pPr>
        <w:pStyle w:val="Texto"/>
        <w:spacing w:after="0" w:line="240" w:lineRule="auto"/>
        <w:rPr>
          <w:i/>
          <w:iCs/>
          <w:sz w:val="22"/>
          <w:szCs w:val="22"/>
        </w:rPr>
      </w:pPr>
      <w:r w:rsidRPr="00327A32">
        <w:rPr>
          <w:i/>
          <w:iCs/>
          <w:sz w:val="22"/>
          <w:szCs w:val="22"/>
        </w:rPr>
        <w:t>Las instituciones de seguridad pública, incluyendo la Guardia Nacional, serán de carácter civil, disciplinado y profesional. El Ministerio Público y las instituciones policiales de los tres órdenes de gobierno deberán coordinarse entre sí para cumplir los fines de la seguridad pública y conformarán el Sistema Nacional de Seguridad Pública, que estará sujeto a las siguientes bases mínimas:</w:t>
      </w:r>
    </w:p>
    <w:p w14:paraId="0B8D1EEE" w14:textId="77777777" w:rsidR="00794E6D" w:rsidRDefault="00794E6D" w:rsidP="00794E6D">
      <w:pPr>
        <w:pStyle w:val="Textosinformato"/>
        <w:jc w:val="right"/>
        <w:rPr>
          <w:rFonts w:ascii="Times New Roman" w:eastAsia="MS Mincho" w:hAnsi="Times New Roman"/>
          <w:i/>
          <w:iCs/>
          <w:color w:val="0000FF"/>
          <w:lang w:val="es-MX"/>
        </w:rPr>
      </w:pPr>
      <w:r w:rsidRPr="00327A32">
        <w:rPr>
          <w:rFonts w:ascii="Times New Roman" w:eastAsia="MS Mincho" w:hAnsi="Times New Roman"/>
          <w:i/>
          <w:iCs/>
          <w:color w:val="0000FF"/>
          <w:lang w:val="es-MX"/>
        </w:rPr>
        <w:t>Párrafo reformado DOF 26-03-2019</w:t>
      </w:r>
    </w:p>
    <w:p w14:paraId="3FE84D3A" w14:textId="77777777" w:rsidR="00794E6D" w:rsidRPr="00327A32" w:rsidRDefault="00794E6D" w:rsidP="00794E6D">
      <w:pPr>
        <w:pStyle w:val="Textosinformato"/>
        <w:jc w:val="right"/>
        <w:rPr>
          <w:rFonts w:ascii="Times New Roman" w:eastAsia="MS Mincho" w:hAnsi="Times New Roman"/>
          <w:i/>
          <w:iCs/>
          <w:color w:val="0000FF"/>
          <w:lang w:val="es-MX"/>
        </w:rPr>
      </w:pPr>
    </w:p>
    <w:p w14:paraId="4DE78FD3" w14:textId="77777777" w:rsidR="00794E6D" w:rsidRPr="00327A32" w:rsidRDefault="00794E6D" w:rsidP="00794E6D">
      <w:pPr>
        <w:pStyle w:val="Texto"/>
        <w:spacing w:after="0" w:line="240" w:lineRule="auto"/>
        <w:ind w:left="720" w:hanging="431"/>
        <w:rPr>
          <w:i/>
          <w:iCs/>
          <w:sz w:val="22"/>
          <w:szCs w:val="22"/>
        </w:rPr>
      </w:pPr>
      <w:r w:rsidRPr="00327A32">
        <w:rPr>
          <w:b/>
          <w:i/>
          <w:iCs/>
          <w:sz w:val="22"/>
          <w:szCs w:val="22"/>
        </w:rPr>
        <w:t xml:space="preserve">a) </w:t>
      </w:r>
      <w:r w:rsidRPr="00327A32">
        <w:rPr>
          <w:b/>
          <w:i/>
          <w:iCs/>
          <w:sz w:val="22"/>
          <w:szCs w:val="22"/>
        </w:rPr>
        <w:tab/>
      </w:r>
      <w:r w:rsidRPr="00327A32">
        <w:rPr>
          <w:i/>
          <w:iCs/>
          <w:sz w:val="22"/>
          <w:szCs w:val="22"/>
        </w:rPr>
        <w:t xml:space="preserve">La regulación de la selección, ingreso, formación, permanencia, evaluación, reconocimiento y certificación de los integrantes de las instituciones de seguridad pública. La operación y desarrollo de estas acciones será competencia de </w:t>
      </w:r>
      <w:smartTag w:uri="urn:schemas-microsoft-com:office:smarttags" w:element="PersonName">
        <w:smartTagPr>
          <w:attr w:name="ProductID" w:val="LA FEDERACIÓN"/>
        </w:smartTagPr>
        <w:r w:rsidRPr="00327A32">
          <w:rPr>
            <w:i/>
            <w:iCs/>
            <w:sz w:val="22"/>
            <w:szCs w:val="22"/>
          </w:rPr>
          <w:t>la Federación</w:t>
        </w:r>
      </w:smartTag>
      <w:r w:rsidRPr="00327A32">
        <w:rPr>
          <w:i/>
          <w:iCs/>
          <w:sz w:val="22"/>
          <w:szCs w:val="22"/>
        </w:rPr>
        <w:t>, las entidades federativas y los Municipios en el ámbito de sus respectivas atribuciones.”</w:t>
      </w:r>
    </w:p>
    <w:p w14:paraId="47855EC1" w14:textId="77777777" w:rsidR="00794E6D" w:rsidRPr="00327A32" w:rsidRDefault="00794E6D" w:rsidP="00794E6D">
      <w:pPr>
        <w:pStyle w:val="Textosinformato"/>
        <w:jc w:val="right"/>
        <w:rPr>
          <w:rFonts w:ascii="Times New Roman" w:hAnsi="Times New Roman"/>
          <w:i/>
          <w:iCs/>
        </w:rPr>
      </w:pPr>
      <w:r w:rsidRPr="00327A32">
        <w:rPr>
          <w:rFonts w:ascii="Times New Roman" w:eastAsia="MS Mincho" w:hAnsi="Times New Roman"/>
          <w:i/>
          <w:iCs/>
          <w:color w:val="0000FF"/>
          <w:lang w:val="es-MX"/>
        </w:rPr>
        <w:t>Inciso reformado DOF 29-01-2016</w:t>
      </w:r>
    </w:p>
    <w:p w14:paraId="6290E86E" w14:textId="77777777" w:rsidR="00794E6D" w:rsidRPr="00327A32" w:rsidRDefault="00794E6D" w:rsidP="00794E6D">
      <w:pPr>
        <w:pStyle w:val="Textosinformato"/>
        <w:jc w:val="right"/>
        <w:rPr>
          <w:rFonts w:ascii="Times New Roman" w:eastAsia="MS Mincho" w:hAnsi="Times New Roman"/>
          <w:i/>
          <w:iCs/>
          <w:color w:val="0000FF"/>
          <w:sz w:val="16"/>
          <w:lang w:val="es-MX"/>
        </w:rPr>
      </w:pPr>
    </w:p>
    <w:p w14:paraId="6C31A763" w14:textId="77777777" w:rsidR="00794E6D" w:rsidRPr="00067CFF" w:rsidRDefault="00794E6D" w:rsidP="00794E6D">
      <w:pPr>
        <w:jc w:val="both"/>
        <w:rPr>
          <w:rFonts w:ascii="Arial" w:hAnsi="Arial" w:cs="Arial"/>
          <w:sz w:val="24"/>
          <w:szCs w:val="24"/>
          <w:lang w:val="es-ES"/>
        </w:rPr>
      </w:pPr>
      <w:r w:rsidRPr="00067CFF">
        <w:rPr>
          <w:rFonts w:ascii="Arial" w:hAnsi="Arial" w:cs="Arial"/>
          <w:sz w:val="24"/>
          <w:szCs w:val="24"/>
          <w:lang w:val="es-ES"/>
        </w:rPr>
        <w:t>Lo anterior, en virtud de que los mexicanos tenemos derecho a</w:t>
      </w:r>
      <w:r>
        <w:rPr>
          <w:rFonts w:ascii="Arial" w:hAnsi="Arial" w:cs="Arial"/>
          <w:sz w:val="24"/>
          <w:szCs w:val="24"/>
          <w:lang w:val="es-ES"/>
        </w:rPr>
        <w:t>l respeto a nuestro régimen de</w:t>
      </w:r>
      <w:r w:rsidRPr="00067CFF">
        <w:rPr>
          <w:rFonts w:ascii="Arial" w:hAnsi="Arial" w:cs="Arial"/>
          <w:sz w:val="24"/>
          <w:szCs w:val="24"/>
          <w:lang w:val="es-ES"/>
        </w:rPr>
        <w:t>mocrátic</w:t>
      </w:r>
      <w:r>
        <w:rPr>
          <w:rFonts w:ascii="Arial" w:hAnsi="Arial" w:cs="Arial"/>
          <w:sz w:val="24"/>
          <w:szCs w:val="24"/>
          <w:lang w:val="es-ES"/>
        </w:rPr>
        <w:t>o</w:t>
      </w:r>
      <w:r w:rsidRPr="00067CFF">
        <w:rPr>
          <w:rFonts w:ascii="Arial" w:hAnsi="Arial" w:cs="Arial"/>
          <w:sz w:val="24"/>
          <w:szCs w:val="24"/>
          <w:lang w:val="es-ES"/>
        </w:rPr>
        <w:t>, que</w:t>
      </w:r>
      <w:r>
        <w:rPr>
          <w:rFonts w:ascii="Arial" w:hAnsi="Arial" w:cs="Arial"/>
          <w:sz w:val="24"/>
          <w:szCs w:val="24"/>
          <w:lang w:val="es-ES"/>
        </w:rPr>
        <w:t xml:space="preserve">, </w:t>
      </w:r>
      <w:proofErr w:type="spellStart"/>
      <w:r>
        <w:rPr>
          <w:rFonts w:ascii="Arial" w:hAnsi="Arial" w:cs="Arial"/>
          <w:sz w:val="24"/>
          <w:szCs w:val="24"/>
          <w:lang w:val="es-ES"/>
        </w:rPr>
        <w:t>a</w:t>
      </w:r>
      <w:proofErr w:type="spellEnd"/>
      <w:r>
        <w:rPr>
          <w:rFonts w:ascii="Arial" w:hAnsi="Arial" w:cs="Arial"/>
          <w:sz w:val="24"/>
          <w:szCs w:val="24"/>
          <w:lang w:val="es-ES"/>
        </w:rPr>
        <w:t xml:space="preserve"> contrario de lo que ha sostenido el Mandatario en sus conferencias matutinas, y que pretende justificar con el nuevo orden policíaco que postula en la política pública que ha ordenado,</w:t>
      </w:r>
      <w:r w:rsidRPr="00067CFF">
        <w:rPr>
          <w:rFonts w:ascii="Arial" w:hAnsi="Arial" w:cs="Arial"/>
          <w:sz w:val="24"/>
          <w:szCs w:val="24"/>
          <w:lang w:val="es-ES"/>
        </w:rPr>
        <w:t xml:space="preserve"> solamente es posible bajo e</w:t>
      </w:r>
      <w:r>
        <w:rPr>
          <w:rFonts w:ascii="Arial" w:hAnsi="Arial" w:cs="Arial"/>
          <w:sz w:val="24"/>
          <w:szCs w:val="24"/>
          <w:lang w:val="es-ES"/>
        </w:rPr>
        <w:t>l</w:t>
      </w:r>
      <w:r w:rsidRPr="00067CFF">
        <w:rPr>
          <w:rFonts w:ascii="Arial" w:hAnsi="Arial" w:cs="Arial"/>
          <w:sz w:val="24"/>
          <w:szCs w:val="24"/>
          <w:lang w:val="es-ES"/>
        </w:rPr>
        <w:t xml:space="preserve"> esquema de mantener elementos policíacos del orden civil, como paso a demostrarlo.</w:t>
      </w:r>
    </w:p>
    <w:p w14:paraId="47EF8297" w14:textId="77777777" w:rsidR="00794E6D" w:rsidRDefault="00794E6D" w:rsidP="00794E6D">
      <w:pPr>
        <w:jc w:val="both"/>
        <w:rPr>
          <w:rFonts w:ascii="Arial" w:hAnsi="Arial" w:cs="Arial"/>
          <w:sz w:val="24"/>
          <w:szCs w:val="24"/>
          <w:lang w:val="es-ES"/>
        </w:rPr>
      </w:pPr>
      <w:r w:rsidRPr="00067CFF">
        <w:rPr>
          <w:rFonts w:ascii="Arial" w:hAnsi="Arial" w:cs="Arial"/>
          <w:sz w:val="24"/>
          <w:szCs w:val="24"/>
          <w:lang w:val="es-ES"/>
        </w:rPr>
        <w:t xml:space="preserve">En efecto, el Decreto de mérito, al colocar a las fuerzas de seguridad pública de los tres órdenes de gobierno, bajo el mando militar, pone en riesgo la gobernanza democrática de la seguridad en México, en virtud de que </w:t>
      </w:r>
      <w:r>
        <w:rPr>
          <w:rFonts w:ascii="Arial" w:hAnsi="Arial" w:cs="Arial"/>
          <w:sz w:val="24"/>
          <w:szCs w:val="24"/>
          <w:lang w:val="es-ES"/>
        </w:rPr>
        <w:t xml:space="preserve">se está cediendo el control civil, en clara violación al numeral arriba transcrito, con lo que genera relaciones jerárquicas entre los actores militares y los actores policíacos, quedando los segundos subordinados al orden militar, a pesar de que es el orden que desconoce los protocolos de actuación que preservan los derechos humanos, en virtud de la organización centralizada de campo que es instaurada, generando una acción totalizante centrada en la retórica de la eficiencia militar. Este cuadro es por demás grave, ya que deja a los ciudadanos en </w:t>
      </w:r>
      <w:r>
        <w:rPr>
          <w:rFonts w:ascii="Arial" w:hAnsi="Arial" w:cs="Arial"/>
          <w:sz w:val="24"/>
          <w:szCs w:val="24"/>
          <w:lang w:val="es-ES"/>
        </w:rPr>
        <w:lastRenderedPageBreak/>
        <w:t>manos de un cuerpo entrenado para otras funciones, con letalidad manifiesta, no solamente por el equipo que manejan sino por su entrenamiento, por lo que van generando una escalada de violencia dada la violación sistemática de derechos humanos, que se ahonda por el alejamiento que van teniendo de sus funciones sociales, como lo son: la atención a los planes de contingencias por desastres naturales, incendios forestales, la ayuda en asuntos de destrucción de drogas, piratería y otros elementos del delito, lo que profundiza la militarización y complica eventualmente, el regreso a sus actividades originales ya mencionadas y su reorientación democrática, pues, en sí misma, la estructura militar no es democrática sino vertical y va absorbiendo a la civil.</w:t>
      </w:r>
    </w:p>
    <w:p w14:paraId="4A71BDFC" w14:textId="77777777" w:rsidR="00794E6D" w:rsidRDefault="00794E6D" w:rsidP="00794E6D">
      <w:pPr>
        <w:jc w:val="both"/>
        <w:rPr>
          <w:rFonts w:ascii="Arial" w:hAnsi="Arial" w:cs="Arial"/>
          <w:sz w:val="24"/>
          <w:szCs w:val="24"/>
          <w:lang w:val="es-ES"/>
        </w:rPr>
      </w:pPr>
      <w:r>
        <w:rPr>
          <w:rFonts w:ascii="Arial" w:hAnsi="Arial" w:cs="Arial"/>
          <w:sz w:val="24"/>
          <w:szCs w:val="24"/>
          <w:lang w:val="es-ES"/>
        </w:rPr>
        <w:t>De esa forma, las instituciones castrenses van influyendo en las civiles, incluso sin que sea esto algo dirigido, conforme se va centralizando la oferta de recursos de la institución militar, de la que depende la civil, lo que avanza mediante adopciones de personal, tecnología y recursos, incluyendo los valores, al convertirse en hegemónica la institución militar, pues no es la institución civil la que aumenta su poder, es a lo que se llama un cambio isomorfo, entendido como un proceso que fuerza a una organización a asemejarse a otras que enfrentan las mismas condiciones ambientales del sistema, al darse la competencia por los mismos recursos materiales y simbólicos. En estas condiciones, las instituciones civiles tratan de reconfigurarse hacia la que goza de reconocimiento por su eficiencia y van dejando el ámbito civil, por la superioridad otorgada a las fuerzas castrenses dada su supuesta carencia de corrupción.</w:t>
      </w:r>
    </w:p>
    <w:p w14:paraId="0892524E" w14:textId="77777777" w:rsidR="00794E6D" w:rsidRPr="00CC74CD" w:rsidRDefault="00794E6D" w:rsidP="00794E6D">
      <w:pPr>
        <w:jc w:val="both"/>
        <w:rPr>
          <w:rFonts w:ascii="Arial" w:hAnsi="Arial" w:cs="Arial"/>
          <w:sz w:val="24"/>
          <w:szCs w:val="24"/>
        </w:rPr>
      </w:pPr>
      <w:r w:rsidRPr="00CC74CD">
        <w:rPr>
          <w:rFonts w:ascii="Arial" w:hAnsi="Arial" w:cs="Arial"/>
          <w:sz w:val="24"/>
          <w:szCs w:val="24"/>
          <w:lang w:val="es-ES"/>
        </w:rPr>
        <w:t>Y lo que podemos observar hoy es, precisamente</w:t>
      </w:r>
      <w:r>
        <w:rPr>
          <w:rFonts w:ascii="Arial" w:hAnsi="Arial" w:cs="Arial"/>
          <w:sz w:val="24"/>
          <w:szCs w:val="24"/>
          <w:lang w:val="es-ES"/>
        </w:rPr>
        <w:t>,</w:t>
      </w:r>
      <w:r w:rsidRPr="00CC74CD">
        <w:rPr>
          <w:rFonts w:ascii="Arial" w:hAnsi="Arial" w:cs="Arial"/>
          <w:sz w:val="24"/>
          <w:szCs w:val="24"/>
          <w:lang w:val="es-ES"/>
        </w:rPr>
        <w:t xml:space="preserve"> indicadores de: </w:t>
      </w:r>
      <w:r w:rsidRPr="00CC74CD">
        <w:rPr>
          <w:rFonts w:ascii="Arial" w:hAnsi="Arial" w:cs="Arial"/>
          <w:sz w:val="24"/>
          <w:szCs w:val="24"/>
        </w:rPr>
        <w:t xml:space="preserve">a) la incorporación paulatina de militares, tanto activos como retirados, a las policías; b) la participación de militares en la dirección de mandos medios y bajos de diferentes dependencias de seguridad; y c) la adopción de tecnologías militares para la seguridad interna, tanto en las tareas de combate como en las de inteligencia. Entonces se </w:t>
      </w:r>
      <w:r>
        <w:rPr>
          <w:rFonts w:ascii="Arial" w:hAnsi="Arial" w:cs="Arial"/>
          <w:sz w:val="24"/>
          <w:szCs w:val="24"/>
        </w:rPr>
        <w:t>produce</w:t>
      </w:r>
      <w:r w:rsidRPr="00CC74CD">
        <w:rPr>
          <w:rFonts w:ascii="Arial" w:hAnsi="Arial" w:cs="Arial"/>
          <w:sz w:val="24"/>
          <w:szCs w:val="24"/>
        </w:rPr>
        <w:t xml:space="preserve"> el isomorfismo de las fuerzas civiles a las militares, con lo que</w:t>
      </w:r>
      <w:r>
        <w:rPr>
          <w:rFonts w:ascii="Arial" w:hAnsi="Arial" w:cs="Arial"/>
          <w:sz w:val="24"/>
          <w:szCs w:val="24"/>
        </w:rPr>
        <w:t xml:space="preserve"> </w:t>
      </w:r>
      <w:r w:rsidRPr="00CC74CD">
        <w:rPr>
          <w:rFonts w:ascii="Arial" w:hAnsi="Arial" w:cs="Arial"/>
          <w:sz w:val="24"/>
          <w:szCs w:val="24"/>
        </w:rPr>
        <w:t xml:space="preserve">los ciudadanos perdemos esas fuerzas de proximidad, con sus conocimientos y aplicación de protocolos que debe de cumplir una policía bien entrenada y capacitada, que ni debería de compararse con los militares, que pueden aplicar la fuerza letal de forma contundente, salvo en esta administración federal, con la política coloquialmente descrita, como “abrazos. </w:t>
      </w:r>
      <w:proofErr w:type="gramStart"/>
      <w:r w:rsidRPr="00CC74CD">
        <w:rPr>
          <w:rFonts w:ascii="Arial" w:hAnsi="Arial" w:cs="Arial"/>
          <w:sz w:val="24"/>
          <w:szCs w:val="24"/>
        </w:rPr>
        <w:t>no</w:t>
      </w:r>
      <w:proofErr w:type="gramEnd"/>
      <w:r w:rsidRPr="00CC74CD">
        <w:rPr>
          <w:rFonts w:ascii="Arial" w:hAnsi="Arial" w:cs="Arial"/>
          <w:sz w:val="24"/>
          <w:szCs w:val="24"/>
        </w:rPr>
        <w:t xml:space="preserve"> balazos”, lo que los vuelve inoperantes</w:t>
      </w:r>
      <w:r>
        <w:rPr>
          <w:rFonts w:ascii="Arial" w:hAnsi="Arial" w:cs="Arial"/>
          <w:sz w:val="24"/>
          <w:szCs w:val="24"/>
        </w:rPr>
        <w:t>. E</w:t>
      </w:r>
      <w:r w:rsidRPr="00CC74CD">
        <w:rPr>
          <w:rFonts w:ascii="Arial" w:hAnsi="Arial" w:cs="Arial"/>
          <w:sz w:val="24"/>
          <w:szCs w:val="24"/>
        </w:rPr>
        <w:t xml:space="preserve">ntonces tampoco hay ya eficiencia alguna, porque el combate a la delincuencia exige acciones </w:t>
      </w:r>
      <w:r>
        <w:rPr>
          <w:rFonts w:ascii="Arial" w:hAnsi="Arial" w:cs="Arial"/>
          <w:sz w:val="24"/>
          <w:szCs w:val="24"/>
        </w:rPr>
        <w:t>directas</w:t>
      </w:r>
      <w:r w:rsidRPr="00CC74CD">
        <w:rPr>
          <w:rFonts w:ascii="Arial" w:hAnsi="Arial" w:cs="Arial"/>
          <w:sz w:val="24"/>
          <w:szCs w:val="24"/>
        </w:rPr>
        <w:t xml:space="preserve"> y políticas bien diseñadas para ir disminuyendo los índices delictivos.</w:t>
      </w:r>
      <w:r>
        <w:rPr>
          <w:rFonts w:ascii="Arial" w:hAnsi="Arial" w:cs="Arial"/>
          <w:sz w:val="24"/>
          <w:szCs w:val="24"/>
        </w:rPr>
        <w:t xml:space="preserve"> Lo que no se va a conseguir con la actual opacidad en que hemos caído y la falta de rendición de cuentas que también aqueja hoy a quienes prestan el servicio de seguridad pública.</w:t>
      </w:r>
    </w:p>
    <w:p w14:paraId="706C2112" w14:textId="77777777" w:rsidR="00794E6D" w:rsidRPr="00CC74CD" w:rsidRDefault="00794E6D" w:rsidP="00794E6D">
      <w:pPr>
        <w:jc w:val="both"/>
        <w:rPr>
          <w:rFonts w:ascii="Arial" w:hAnsi="Arial" w:cs="Arial"/>
          <w:sz w:val="24"/>
          <w:szCs w:val="24"/>
        </w:rPr>
      </w:pPr>
      <w:r>
        <w:rPr>
          <w:rFonts w:ascii="Arial" w:hAnsi="Arial" w:cs="Arial"/>
          <w:sz w:val="24"/>
          <w:szCs w:val="24"/>
        </w:rPr>
        <w:t>Porque</w:t>
      </w:r>
      <w:r w:rsidRPr="00CC74CD">
        <w:rPr>
          <w:rFonts w:ascii="Arial" w:hAnsi="Arial" w:cs="Arial"/>
          <w:sz w:val="24"/>
          <w:szCs w:val="24"/>
        </w:rPr>
        <w:t xml:space="preserve"> lo que ha venido ocurriendo en nuestro país es que, a veces previa renuncia al fuero militar, han sido transferidos a las instituciones civiles, donde han reproducidos sus esquemas, para luego, paradójicamente, llegar a enrolarse en las filas criminales porque ya no existe el honor militar.</w:t>
      </w:r>
      <w:r>
        <w:rPr>
          <w:rFonts w:ascii="Arial" w:hAnsi="Arial" w:cs="Arial"/>
          <w:sz w:val="24"/>
          <w:szCs w:val="24"/>
        </w:rPr>
        <w:t xml:space="preserve"> Toda vez que lo que ha sucedido desde 2010, es que </w:t>
      </w:r>
      <w:r w:rsidRPr="006D4031">
        <w:rPr>
          <w:rFonts w:ascii="Arial" w:hAnsi="Arial" w:cs="Arial"/>
          <w:i/>
          <w:iCs/>
          <w:sz w:val="24"/>
          <w:szCs w:val="24"/>
        </w:rPr>
        <w:t>“de los doce gobernadores elegidos, siete eligieron a militares para dirigir la Policía Estatal. En el 2009, había seis militares al mando de policías estatales o federales. En el 2012, eran ya 36 (</w:t>
      </w:r>
      <w:proofErr w:type="spellStart"/>
      <w:r w:rsidRPr="006D4031">
        <w:rPr>
          <w:rFonts w:ascii="Arial" w:hAnsi="Arial" w:cs="Arial"/>
          <w:i/>
          <w:iCs/>
          <w:sz w:val="24"/>
          <w:szCs w:val="24"/>
        </w:rPr>
        <w:t>Grayson</w:t>
      </w:r>
      <w:proofErr w:type="spellEnd"/>
      <w:r w:rsidRPr="006D4031">
        <w:rPr>
          <w:rFonts w:ascii="Arial" w:hAnsi="Arial" w:cs="Arial"/>
          <w:i/>
          <w:iCs/>
          <w:sz w:val="24"/>
          <w:szCs w:val="24"/>
        </w:rPr>
        <w:t>, 2013, p. 17-22). Para el 2012, dos terceras partes de los estados de la República tenían militares al frente de sus secretarías estatales o direcciones municipales de Seguridad Pública (</w:t>
      </w:r>
      <w:proofErr w:type="spellStart"/>
      <w:r w:rsidRPr="006D4031">
        <w:rPr>
          <w:rFonts w:ascii="Arial" w:hAnsi="Arial" w:cs="Arial"/>
          <w:i/>
          <w:iCs/>
          <w:sz w:val="24"/>
          <w:szCs w:val="24"/>
        </w:rPr>
        <w:t>Moloeznik</w:t>
      </w:r>
      <w:proofErr w:type="spellEnd"/>
      <w:r w:rsidRPr="006D4031">
        <w:rPr>
          <w:rFonts w:ascii="Arial" w:hAnsi="Arial" w:cs="Arial"/>
          <w:i/>
          <w:iCs/>
          <w:sz w:val="24"/>
          <w:szCs w:val="24"/>
        </w:rPr>
        <w:t xml:space="preserve"> y Suárez de Garay, 2012)”.</w:t>
      </w:r>
      <w:r>
        <w:rPr>
          <w:rFonts w:ascii="Arial" w:hAnsi="Arial" w:cs="Arial"/>
          <w:i/>
          <w:iCs/>
          <w:sz w:val="24"/>
          <w:szCs w:val="24"/>
        </w:rPr>
        <w:t xml:space="preserve"> </w:t>
      </w:r>
      <w:proofErr w:type="gramStart"/>
      <w:r w:rsidRPr="00235BDB">
        <w:rPr>
          <w:rFonts w:ascii="Arial" w:hAnsi="Arial" w:cs="Arial"/>
          <w:sz w:val="24"/>
          <w:szCs w:val="24"/>
        </w:rPr>
        <w:t>esto</w:t>
      </w:r>
      <w:proofErr w:type="gramEnd"/>
      <w:r w:rsidRPr="00CC74CD">
        <w:rPr>
          <w:rFonts w:ascii="Arial" w:hAnsi="Arial" w:cs="Arial"/>
          <w:sz w:val="24"/>
          <w:szCs w:val="24"/>
        </w:rPr>
        <w:t xml:space="preserve"> en nombre de la supuesta eficiencia castrense</w:t>
      </w:r>
      <w:r>
        <w:rPr>
          <w:rFonts w:ascii="Arial" w:hAnsi="Arial" w:cs="Arial"/>
          <w:sz w:val="24"/>
          <w:szCs w:val="24"/>
        </w:rPr>
        <w:t xml:space="preserve">, lo que </w:t>
      </w:r>
      <w:r w:rsidRPr="00CC74CD">
        <w:rPr>
          <w:rFonts w:ascii="Arial" w:hAnsi="Arial" w:cs="Arial"/>
          <w:sz w:val="24"/>
          <w:szCs w:val="24"/>
        </w:rPr>
        <w:t>incluye</w:t>
      </w:r>
      <w:r>
        <w:rPr>
          <w:rFonts w:ascii="Arial" w:hAnsi="Arial" w:cs="Arial"/>
          <w:sz w:val="24"/>
          <w:szCs w:val="24"/>
        </w:rPr>
        <w:t xml:space="preserve"> a</w:t>
      </w:r>
      <w:r w:rsidRPr="00CC74CD">
        <w:rPr>
          <w:rFonts w:ascii="Arial" w:hAnsi="Arial" w:cs="Arial"/>
          <w:sz w:val="24"/>
          <w:szCs w:val="24"/>
        </w:rPr>
        <w:t xml:space="preserve"> la Procuraduría General de la República.</w:t>
      </w:r>
    </w:p>
    <w:p w14:paraId="7F3DAC37" w14:textId="77777777" w:rsidR="00794E6D" w:rsidRPr="00CC74CD" w:rsidRDefault="00794E6D" w:rsidP="00794E6D">
      <w:pPr>
        <w:jc w:val="both"/>
        <w:rPr>
          <w:rFonts w:ascii="Arial" w:hAnsi="Arial" w:cs="Arial"/>
          <w:sz w:val="24"/>
          <w:szCs w:val="24"/>
        </w:rPr>
      </w:pPr>
      <w:r w:rsidRPr="00CC74CD">
        <w:rPr>
          <w:rFonts w:ascii="Arial" w:hAnsi="Arial" w:cs="Arial"/>
          <w:sz w:val="24"/>
          <w:szCs w:val="24"/>
        </w:rPr>
        <w:t>En tales condiciones, con la militarización indirecta de los cuerpos policíacos,</w:t>
      </w:r>
      <w:r>
        <w:rPr>
          <w:rFonts w:ascii="Arial" w:hAnsi="Arial" w:cs="Arial"/>
          <w:sz w:val="24"/>
          <w:szCs w:val="24"/>
        </w:rPr>
        <w:t xml:space="preserve"> </w:t>
      </w:r>
      <w:r w:rsidRPr="00CC74CD">
        <w:rPr>
          <w:rFonts w:ascii="Arial" w:hAnsi="Arial" w:cs="Arial"/>
          <w:sz w:val="24"/>
          <w:szCs w:val="24"/>
        </w:rPr>
        <w:t>no se genera algún efecto en la distribución del poder de los cuerpos militares al momento de estructurar el monopolio del uso de la violencia estatal</w:t>
      </w:r>
      <w:r>
        <w:rPr>
          <w:rFonts w:ascii="Arial" w:hAnsi="Arial" w:cs="Arial"/>
          <w:sz w:val="24"/>
          <w:szCs w:val="24"/>
        </w:rPr>
        <w:t>. Y,</w:t>
      </w:r>
      <w:r w:rsidRPr="00CC74CD">
        <w:rPr>
          <w:rFonts w:ascii="Arial" w:hAnsi="Arial" w:cs="Arial"/>
          <w:sz w:val="24"/>
          <w:szCs w:val="24"/>
        </w:rPr>
        <w:t xml:space="preserve"> entonces</w:t>
      </w:r>
      <w:r>
        <w:rPr>
          <w:rFonts w:ascii="Arial" w:hAnsi="Arial" w:cs="Arial"/>
          <w:sz w:val="24"/>
          <w:szCs w:val="24"/>
        </w:rPr>
        <w:t>,</w:t>
      </w:r>
      <w:r w:rsidRPr="00CC74CD">
        <w:rPr>
          <w:rFonts w:ascii="Arial" w:hAnsi="Arial" w:cs="Arial"/>
          <w:sz w:val="24"/>
          <w:szCs w:val="24"/>
        </w:rPr>
        <w:t xml:space="preserve"> resultan dos procesos distintos, uno en el que la militarización deviene hegemónica en la vida institucional de un país determinado, y otro, en el que los cuerpos civiles pertenecientes al ámbito de la seguridad adquieren lógicas militares conforme se han activado los </w:t>
      </w:r>
      <w:r w:rsidRPr="00CC74CD">
        <w:rPr>
          <w:rFonts w:ascii="Arial" w:hAnsi="Arial" w:cs="Arial"/>
          <w:sz w:val="24"/>
          <w:szCs w:val="24"/>
        </w:rPr>
        <w:lastRenderedPageBreak/>
        <w:t>mecanismos del cambio isomorfo, conforme a nociones de un nuevo institucionalismo sociológico. Lo anterior, porque, aunque no tengan una directriz militar estos cambios, sí representan transformación y coparticipación entre las instituciones civiles y militares, a pesar de la original asimetría, en virtud de que el campo en el que cohabitan está bastante estructurado, de modo que, al enfrentarse a retos y oportunidades parecidas dentro del mismo campo, tenderán a asimilar el cambio, debido a que los participantes de esa compleja red social y política crearán significados en el corto plazo, y, en el largo, esos significados reconstituyen actores e identidades organizacion</w:t>
      </w:r>
      <w:r>
        <w:rPr>
          <w:rFonts w:ascii="Arial" w:hAnsi="Arial" w:cs="Arial"/>
          <w:sz w:val="24"/>
          <w:szCs w:val="24"/>
        </w:rPr>
        <w:t>al</w:t>
      </w:r>
      <w:r w:rsidRPr="00CC74CD">
        <w:rPr>
          <w:rFonts w:ascii="Arial" w:hAnsi="Arial" w:cs="Arial"/>
          <w:sz w:val="24"/>
          <w:szCs w:val="24"/>
        </w:rPr>
        <w:t xml:space="preserve">es, provocando procesos de semejanza al relacionarse de forma interdependiente y cambiarán sustancialmente a consecuencia de estas interacciones. </w:t>
      </w:r>
      <w:r>
        <w:rPr>
          <w:rFonts w:ascii="Arial" w:hAnsi="Arial" w:cs="Arial"/>
          <w:sz w:val="24"/>
          <w:szCs w:val="24"/>
        </w:rPr>
        <w:t>Todo</w:t>
      </w:r>
      <w:r w:rsidRPr="00CC74CD">
        <w:rPr>
          <w:rFonts w:ascii="Arial" w:hAnsi="Arial" w:cs="Arial"/>
          <w:sz w:val="24"/>
          <w:szCs w:val="24"/>
        </w:rPr>
        <w:t xml:space="preserve"> esto por la necesidad legitimadora que asegure su supervivencia como organización dentro del campo, por encima de la búsqueda de eficiencia. </w:t>
      </w:r>
      <w:r>
        <w:rPr>
          <w:rFonts w:ascii="Arial" w:hAnsi="Arial" w:cs="Arial"/>
          <w:sz w:val="24"/>
          <w:szCs w:val="24"/>
        </w:rPr>
        <w:t>Y c</w:t>
      </w:r>
      <w:r w:rsidRPr="00CC74CD">
        <w:rPr>
          <w:rFonts w:ascii="Arial" w:hAnsi="Arial" w:cs="Arial"/>
          <w:sz w:val="24"/>
          <w:szCs w:val="24"/>
        </w:rPr>
        <w:t>on ello se abre la puerta a la homogeneización en estructuras, culturas organizacionales y resultados.</w:t>
      </w:r>
    </w:p>
    <w:p w14:paraId="7C04C3C5" w14:textId="77777777" w:rsidR="00794E6D" w:rsidRPr="00CC74CD" w:rsidRDefault="00794E6D" w:rsidP="00794E6D">
      <w:pPr>
        <w:jc w:val="both"/>
        <w:rPr>
          <w:rFonts w:ascii="Arial" w:hAnsi="Arial" w:cs="Arial"/>
          <w:sz w:val="24"/>
          <w:szCs w:val="24"/>
          <w:lang w:val="es-ES"/>
        </w:rPr>
      </w:pPr>
      <w:r w:rsidRPr="00CC74CD">
        <w:rPr>
          <w:rFonts w:ascii="Arial" w:hAnsi="Arial" w:cs="Arial"/>
          <w:sz w:val="24"/>
          <w:szCs w:val="24"/>
          <w:lang w:val="es-ES"/>
        </w:rPr>
        <w:t>En estas condiciones, terminaremos teniendo policías cada vez más parecidas a las</w:t>
      </w:r>
      <w:r>
        <w:rPr>
          <w:rFonts w:ascii="Arial" w:hAnsi="Arial" w:cs="Arial"/>
          <w:sz w:val="24"/>
          <w:szCs w:val="24"/>
          <w:lang w:val="es-ES"/>
        </w:rPr>
        <w:t xml:space="preserve"> </w:t>
      </w:r>
      <w:r w:rsidRPr="00CC74CD">
        <w:rPr>
          <w:rFonts w:ascii="Arial" w:hAnsi="Arial" w:cs="Arial"/>
          <w:sz w:val="24"/>
          <w:szCs w:val="24"/>
          <w:lang w:val="es-ES"/>
        </w:rPr>
        <w:t xml:space="preserve">milicias, </w:t>
      </w:r>
      <w:r>
        <w:rPr>
          <w:rFonts w:ascii="Arial" w:hAnsi="Arial" w:cs="Arial"/>
          <w:sz w:val="24"/>
          <w:szCs w:val="24"/>
          <w:lang w:val="es-ES"/>
        </w:rPr>
        <w:t>donde</w:t>
      </w:r>
      <w:r w:rsidRPr="00CC74CD">
        <w:rPr>
          <w:rFonts w:ascii="Arial" w:hAnsi="Arial" w:cs="Arial"/>
          <w:sz w:val="24"/>
          <w:szCs w:val="24"/>
          <w:lang w:val="es-ES"/>
        </w:rPr>
        <w:t xml:space="preserve"> el número superior de elementos castrenses </w:t>
      </w:r>
      <w:r>
        <w:rPr>
          <w:rFonts w:ascii="Arial" w:hAnsi="Arial" w:cs="Arial"/>
          <w:sz w:val="24"/>
          <w:szCs w:val="24"/>
          <w:lang w:val="es-ES"/>
        </w:rPr>
        <w:t>har</w:t>
      </w:r>
      <w:r w:rsidRPr="00CC74CD">
        <w:rPr>
          <w:rFonts w:ascii="Arial" w:hAnsi="Arial" w:cs="Arial"/>
          <w:sz w:val="24"/>
          <w:szCs w:val="24"/>
          <w:lang w:val="es-ES"/>
        </w:rPr>
        <w:t xml:space="preserve">á cada vez menos posible recuperar nuestras instituciones policíacas y, entonces tendremos un camino sin retorno, donde la falta de cumplimiento de </w:t>
      </w:r>
      <w:r>
        <w:rPr>
          <w:rFonts w:ascii="Arial" w:hAnsi="Arial" w:cs="Arial"/>
          <w:sz w:val="24"/>
          <w:szCs w:val="24"/>
          <w:lang w:val="es-ES"/>
        </w:rPr>
        <w:t xml:space="preserve">los </w:t>
      </w:r>
      <w:r w:rsidRPr="00CC74CD">
        <w:rPr>
          <w:rFonts w:ascii="Arial" w:hAnsi="Arial" w:cs="Arial"/>
          <w:sz w:val="24"/>
          <w:szCs w:val="24"/>
          <w:lang w:val="es-ES"/>
        </w:rPr>
        <w:t>protocolos de actuación,</w:t>
      </w:r>
      <w:r>
        <w:rPr>
          <w:rFonts w:ascii="Arial" w:hAnsi="Arial" w:cs="Arial"/>
          <w:sz w:val="24"/>
          <w:szCs w:val="24"/>
          <w:lang w:val="es-ES"/>
        </w:rPr>
        <w:t xml:space="preserve"> las</w:t>
      </w:r>
      <w:r w:rsidRPr="00CC74CD">
        <w:rPr>
          <w:rFonts w:ascii="Arial" w:hAnsi="Arial" w:cs="Arial"/>
          <w:sz w:val="24"/>
          <w:szCs w:val="24"/>
          <w:lang w:val="es-ES"/>
        </w:rPr>
        <w:t xml:space="preserve"> cadenas de custodia de datos de prueba, del cumplimiento a los derechos humanos del no enemigo</w:t>
      </w:r>
      <w:r>
        <w:rPr>
          <w:rFonts w:ascii="Arial" w:hAnsi="Arial" w:cs="Arial"/>
          <w:sz w:val="24"/>
          <w:szCs w:val="24"/>
          <w:lang w:val="es-ES"/>
        </w:rPr>
        <w:t xml:space="preserve"> sino</w:t>
      </w:r>
      <w:r w:rsidRPr="00CC74CD">
        <w:rPr>
          <w:rFonts w:ascii="Arial" w:hAnsi="Arial" w:cs="Arial"/>
          <w:sz w:val="24"/>
          <w:szCs w:val="24"/>
          <w:lang w:val="es-ES"/>
        </w:rPr>
        <w:t xml:space="preserve"> simplemente imputado</w:t>
      </w:r>
      <w:r>
        <w:rPr>
          <w:rFonts w:ascii="Arial" w:hAnsi="Arial" w:cs="Arial"/>
          <w:sz w:val="24"/>
          <w:szCs w:val="24"/>
          <w:lang w:val="es-ES"/>
        </w:rPr>
        <w:t>,</w:t>
      </w:r>
      <w:r w:rsidRPr="00CC74CD">
        <w:rPr>
          <w:rFonts w:ascii="Arial" w:hAnsi="Arial" w:cs="Arial"/>
          <w:sz w:val="24"/>
          <w:szCs w:val="24"/>
          <w:lang w:val="es-ES"/>
        </w:rPr>
        <w:t xml:space="preserve"> será un estrepitoso fracaso y la inseguridad y violaciones de derechos humanos seguirán aumentando, como ha sido hasta ahora, con lo que la indefensión de los ciudadanos será total.</w:t>
      </w:r>
    </w:p>
    <w:p w14:paraId="5DD75E44" w14:textId="77777777" w:rsidR="00794E6D" w:rsidRPr="00CC74CD" w:rsidRDefault="00794E6D" w:rsidP="00794E6D">
      <w:pPr>
        <w:jc w:val="both"/>
        <w:rPr>
          <w:rFonts w:ascii="Arial" w:hAnsi="Arial" w:cs="Arial"/>
          <w:sz w:val="24"/>
          <w:szCs w:val="24"/>
        </w:rPr>
      </w:pPr>
      <w:r w:rsidRPr="00CC74CD">
        <w:rPr>
          <w:rFonts w:ascii="Arial" w:hAnsi="Arial" w:cs="Arial"/>
          <w:sz w:val="24"/>
          <w:szCs w:val="24"/>
        </w:rPr>
        <w:t xml:space="preserve">Cabe señalar que el planteamiento central del concepto de isomorfismo institucional radica en la premisa de que las organizaciones compiten no solo por la optimización de sus recursos, sino por el poder político y la legitimidad institucional, </w:t>
      </w:r>
      <w:r>
        <w:rPr>
          <w:rFonts w:ascii="Arial" w:hAnsi="Arial" w:cs="Arial"/>
          <w:sz w:val="24"/>
          <w:szCs w:val="24"/>
        </w:rPr>
        <w:t xml:space="preserve">asunto no </w:t>
      </w:r>
      <w:r w:rsidRPr="00CC74CD">
        <w:rPr>
          <w:rFonts w:ascii="Arial" w:hAnsi="Arial" w:cs="Arial"/>
          <w:sz w:val="24"/>
          <w:szCs w:val="24"/>
        </w:rPr>
        <w:t>generado por consideraciones de eficiencia, sino de supervivencia</w:t>
      </w:r>
      <w:r>
        <w:rPr>
          <w:rFonts w:ascii="Arial" w:hAnsi="Arial" w:cs="Arial"/>
          <w:sz w:val="24"/>
          <w:szCs w:val="24"/>
        </w:rPr>
        <w:t>,</w:t>
      </w:r>
      <w:r w:rsidRPr="00CC74CD">
        <w:rPr>
          <w:rFonts w:ascii="Arial" w:hAnsi="Arial" w:cs="Arial"/>
          <w:sz w:val="24"/>
          <w:szCs w:val="24"/>
        </w:rPr>
        <w:t xml:space="preserve"> en un ambiente en el cual la legitimidad institucional resulta fundamental. Y </w:t>
      </w:r>
      <w:r>
        <w:rPr>
          <w:rFonts w:ascii="Arial" w:hAnsi="Arial" w:cs="Arial"/>
          <w:sz w:val="24"/>
          <w:szCs w:val="24"/>
        </w:rPr>
        <w:t xml:space="preserve">debe de quedar claro que </w:t>
      </w:r>
      <w:r w:rsidRPr="00CC74CD">
        <w:rPr>
          <w:rFonts w:ascii="Arial" w:hAnsi="Arial" w:cs="Arial"/>
          <w:sz w:val="24"/>
          <w:szCs w:val="24"/>
        </w:rPr>
        <w:t xml:space="preserve">se trata de un proceso de semejanza asimétrica, no de uno de intercambio simétrico orientado a la eficiencia. </w:t>
      </w:r>
      <w:r>
        <w:rPr>
          <w:rFonts w:ascii="Arial" w:hAnsi="Arial" w:cs="Arial"/>
          <w:sz w:val="24"/>
          <w:szCs w:val="24"/>
        </w:rPr>
        <w:t>Pero a</w:t>
      </w:r>
      <w:r w:rsidRPr="00CC74CD">
        <w:rPr>
          <w:rFonts w:ascii="Arial" w:hAnsi="Arial" w:cs="Arial"/>
          <w:sz w:val="24"/>
          <w:szCs w:val="24"/>
        </w:rPr>
        <w:t>sí mismo, se trata de un fenómeno totalizador que envuelve al menos tres posibles niveles de cambio político: el marco global de metas, las técnicas o instrumentos del diseño político y los arreglos específicos de esos instrumentos.</w:t>
      </w:r>
    </w:p>
    <w:p w14:paraId="2A4840BA" w14:textId="77777777" w:rsidR="00794E6D" w:rsidRDefault="00794E6D" w:rsidP="00794E6D">
      <w:pPr>
        <w:jc w:val="both"/>
        <w:rPr>
          <w:rFonts w:ascii="Arial" w:hAnsi="Arial" w:cs="Arial"/>
          <w:sz w:val="24"/>
          <w:szCs w:val="24"/>
        </w:rPr>
      </w:pPr>
      <w:r w:rsidRPr="00CC74CD">
        <w:rPr>
          <w:rFonts w:ascii="Arial" w:hAnsi="Arial" w:cs="Arial"/>
          <w:sz w:val="24"/>
          <w:szCs w:val="24"/>
        </w:rPr>
        <w:t xml:space="preserve">Y, precisamente, el arreglo institucional que se está presentando con esta reforma es de desaparecer a las policías, con lo que hemos venido perdiendo lo que se había avanzado con la implementación del sistema penal acusatorio, que requiere de bien entrenadas y capacitadas policías, porque, de otro modo, se convierte en una coladera, </w:t>
      </w:r>
      <w:r>
        <w:rPr>
          <w:rFonts w:ascii="Arial" w:hAnsi="Arial" w:cs="Arial"/>
          <w:sz w:val="24"/>
          <w:szCs w:val="24"/>
        </w:rPr>
        <w:t xml:space="preserve">por las violaciones procedimentales, </w:t>
      </w:r>
      <w:r w:rsidRPr="00CC74CD">
        <w:rPr>
          <w:rFonts w:ascii="Arial" w:hAnsi="Arial" w:cs="Arial"/>
          <w:sz w:val="24"/>
          <w:szCs w:val="24"/>
        </w:rPr>
        <w:t xml:space="preserve">que es lo que </w:t>
      </w:r>
      <w:r>
        <w:rPr>
          <w:rFonts w:ascii="Arial" w:hAnsi="Arial" w:cs="Arial"/>
          <w:sz w:val="24"/>
          <w:szCs w:val="24"/>
        </w:rPr>
        <w:t>venimos padeciendo</w:t>
      </w:r>
      <w:r w:rsidRPr="00CC74CD">
        <w:rPr>
          <w:rFonts w:ascii="Arial" w:hAnsi="Arial" w:cs="Arial"/>
          <w:sz w:val="24"/>
          <w:szCs w:val="24"/>
        </w:rPr>
        <w:t xml:space="preserve">. Y, entonces, las violaciones a los derechos humanos seguirán presentándose tanto en lo que refiere a la persecución del delito y combate a la impunidad, que como sociedad reclamamos y, por otro lado, a los derechos de los indiciados y de los ciudadanos todos, en materia de seguridad pública, </w:t>
      </w:r>
      <w:r>
        <w:rPr>
          <w:rFonts w:ascii="Arial" w:hAnsi="Arial" w:cs="Arial"/>
          <w:sz w:val="24"/>
          <w:szCs w:val="24"/>
        </w:rPr>
        <w:t xml:space="preserve">pues </w:t>
      </w:r>
      <w:r w:rsidRPr="00CC74CD">
        <w:rPr>
          <w:rFonts w:ascii="Arial" w:hAnsi="Arial" w:cs="Arial"/>
          <w:sz w:val="24"/>
          <w:szCs w:val="24"/>
        </w:rPr>
        <w:t xml:space="preserve">desde las tareas de proximidad para la prevención hasta la persecución del delito, </w:t>
      </w:r>
      <w:r>
        <w:rPr>
          <w:rFonts w:ascii="Arial" w:hAnsi="Arial" w:cs="Arial"/>
          <w:sz w:val="24"/>
          <w:szCs w:val="24"/>
        </w:rPr>
        <w:t>fallará l</w:t>
      </w:r>
      <w:r w:rsidRPr="00CC74CD">
        <w:rPr>
          <w:rFonts w:ascii="Arial" w:hAnsi="Arial" w:cs="Arial"/>
          <w:sz w:val="24"/>
          <w:szCs w:val="24"/>
        </w:rPr>
        <w:t>a certeza jurídica esperada y el respeto de los derechos fundamentales de los mexicanos.</w:t>
      </w:r>
    </w:p>
    <w:p w14:paraId="30E7FA3C" w14:textId="77777777" w:rsidR="00794E6D" w:rsidRDefault="00794E6D" w:rsidP="00794E6D">
      <w:pPr>
        <w:jc w:val="both"/>
        <w:rPr>
          <w:rFonts w:ascii="Arial" w:hAnsi="Arial" w:cs="Arial"/>
          <w:sz w:val="24"/>
          <w:szCs w:val="24"/>
        </w:rPr>
      </w:pPr>
      <w:r>
        <w:rPr>
          <w:rFonts w:ascii="Arial" w:hAnsi="Arial" w:cs="Arial"/>
          <w:sz w:val="24"/>
          <w:szCs w:val="24"/>
        </w:rPr>
        <w:t>Y  a pesar de que el mandatario nacional señala que la atención por parte de los cuerpos militares de la seguridad pública redundará en mayor democracia, los estudios profundos sobre el tema revelan precisamente lo contrario, toda vez, que, conforme a lo antes señalado, las formas castrenses, que van permeando en las tareas de seguridad pública y dejando su impronta en los cuerpos civiles, que, en el país de facto ya no lo son, van transformando dichos cuerpos, en grupos donde la verticalidad disciplinaria y la obediencia dejan fuera cualquier atisbo democrático, pero con un gran defecto, porque no existe el valor del honor militar, que tampoco se está observando necesariamente en esos cuerpos militares, en nuestros días, pues la cercanía con la delincuencia también ha dejado su huella en ellos.</w:t>
      </w:r>
    </w:p>
    <w:p w14:paraId="4E77A165" w14:textId="77777777" w:rsidR="00794E6D" w:rsidRDefault="00794E6D" w:rsidP="00794E6D">
      <w:pPr>
        <w:jc w:val="both"/>
        <w:rPr>
          <w:rFonts w:ascii="Arial" w:hAnsi="Arial" w:cs="Arial"/>
          <w:sz w:val="24"/>
          <w:szCs w:val="24"/>
        </w:rPr>
      </w:pPr>
      <w:r>
        <w:rPr>
          <w:rFonts w:ascii="Arial" w:hAnsi="Arial" w:cs="Arial"/>
          <w:sz w:val="24"/>
          <w:szCs w:val="24"/>
        </w:rPr>
        <w:t xml:space="preserve">Es con esto precisamente, que se vulnera el anhelo democrático y, conforme a nuestro arreglo constitucional, constituye una violación adicional que debe de considerarse para </w:t>
      </w:r>
      <w:r>
        <w:rPr>
          <w:rFonts w:ascii="Arial" w:hAnsi="Arial" w:cs="Arial"/>
          <w:sz w:val="24"/>
          <w:szCs w:val="24"/>
        </w:rPr>
        <w:lastRenderedPageBreak/>
        <w:t>otorgarnos el Amparo y protección de la justicia federal, porque lo primero que hay que respetar cuando se trata de cumplir y hacer cumplir la Constitución y las leyes que de ella emanan, es nuestra forma de Estado y de gobierno, por lo que no puede variarla ninguna de las decisiones políticas que se tomen, luego entonces, estando en riesgo nuestro régimen democrático, no se debe de seguir por este rumbo sino, cuanto antes, es preciso modificar la ruta que se ha seguido. Y es que los estudios sobre militarización en el país han descuidado la parte conceptual y, han privilegiado la explicación y documentación del proceso político, pero es preciso entender claramente el fenómeno para enderezar el camino.</w:t>
      </w:r>
    </w:p>
    <w:p w14:paraId="5E77721C" w14:textId="77777777" w:rsidR="00794E6D" w:rsidRPr="00CC74CD" w:rsidRDefault="00794E6D" w:rsidP="00794E6D">
      <w:pPr>
        <w:jc w:val="both"/>
        <w:rPr>
          <w:rFonts w:ascii="Arial" w:hAnsi="Arial" w:cs="Arial"/>
          <w:sz w:val="24"/>
          <w:szCs w:val="24"/>
        </w:rPr>
      </w:pPr>
      <w:r>
        <w:rPr>
          <w:rFonts w:ascii="Arial" w:hAnsi="Arial" w:cs="Arial"/>
          <w:sz w:val="24"/>
          <w:szCs w:val="24"/>
        </w:rPr>
        <w:t xml:space="preserve">De esta manera, queda claro que la militarización de nuestras fuerzas policíacas complejiza la gobernanza democrática de la seguridad en nuestro país (Sabina Morales Rosas y Carlos A. Pérez </w:t>
      </w:r>
      <w:proofErr w:type="spellStart"/>
      <w:r>
        <w:rPr>
          <w:rFonts w:ascii="Arial" w:hAnsi="Arial" w:cs="Arial"/>
          <w:sz w:val="24"/>
          <w:szCs w:val="24"/>
        </w:rPr>
        <w:t>Ricart</w:t>
      </w:r>
      <w:proofErr w:type="spellEnd"/>
      <w:r>
        <w:rPr>
          <w:rFonts w:ascii="Arial" w:hAnsi="Arial" w:cs="Arial"/>
          <w:sz w:val="24"/>
          <w:szCs w:val="24"/>
        </w:rPr>
        <w:t>, “La militarización, un obstáculo para la gobernanza democrática de la seguridad pública en México”, Revista Colombiana de Sociología, Vol. 38, núm. 1, ene – jun 2015, Bogotá, Colombia, pp. 83-103) y, por ende, es un serio riesgo a nuestra convivencia en democracia, con lo que se violan flagrantemente nuestros derechos humanos, por lo que procede concedernos el Amparo y la justicia federal para evitar que la Guardia Nacional pase al control operativo, administrativo y financiero de la Secretaría de la Defensa Nacional y que se vuelva al planteamiento de darle su autonomía presupuestal y operativa, en coordinación entre los diversos órdenes de gobierno para que se logre el cumplimiento cabal de los protocolos y mecanismos de rendición de cuentas que preserven la aplicación de la ley y evitar la impunidad.</w:t>
      </w:r>
    </w:p>
    <w:p w14:paraId="615776C0" w14:textId="6B3325FB" w:rsidR="009B062D" w:rsidRDefault="007057F7" w:rsidP="001E3E5E">
      <w:pPr>
        <w:spacing w:before="240"/>
        <w:ind w:right="49"/>
        <w:jc w:val="both"/>
        <w:rPr>
          <w:rFonts w:ascii="Arial" w:hAnsi="Arial" w:cs="Arial"/>
          <w:sz w:val="24"/>
          <w:szCs w:val="24"/>
        </w:rPr>
      </w:pPr>
      <w:r>
        <w:rPr>
          <w:rFonts w:ascii="Arial" w:hAnsi="Arial" w:cs="Arial"/>
          <w:b/>
          <w:sz w:val="24"/>
          <w:szCs w:val="24"/>
          <w:shd w:val="clear" w:color="auto" w:fill="FFFFFF"/>
        </w:rPr>
        <w:t>OCTAVO</w:t>
      </w:r>
      <w:r w:rsidR="00794E6D">
        <w:rPr>
          <w:rFonts w:ascii="Arial" w:hAnsi="Arial" w:cs="Arial"/>
          <w:b/>
          <w:sz w:val="24"/>
          <w:szCs w:val="24"/>
          <w:shd w:val="clear" w:color="auto" w:fill="FFFFFF"/>
        </w:rPr>
        <w:t>.</w:t>
      </w:r>
      <w:r w:rsidR="001E3E5E">
        <w:rPr>
          <w:rFonts w:ascii="Arial" w:hAnsi="Arial" w:cs="Arial"/>
          <w:b/>
          <w:sz w:val="24"/>
          <w:szCs w:val="24"/>
          <w:shd w:val="clear" w:color="auto" w:fill="FFFFFF"/>
        </w:rPr>
        <w:t xml:space="preserve"> </w:t>
      </w:r>
      <w:r>
        <w:rPr>
          <w:rFonts w:ascii="Arial" w:hAnsi="Arial" w:cs="Arial"/>
          <w:sz w:val="24"/>
          <w:szCs w:val="24"/>
        </w:rPr>
        <w:t xml:space="preserve">La norma general reclamada </w:t>
      </w:r>
      <w:r w:rsidR="009B062D">
        <w:rPr>
          <w:rFonts w:ascii="Arial" w:hAnsi="Arial" w:cs="Arial"/>
          <w:sz w:val="24"/>
          <w:szCs w:val="24"/>
        </w:rPr>
        <w:t>7, fracción IX, 12, fracción I, 13, fracción I, 13 BIS, fracciones I y VI, 26, fracción V, de l</w:t>
      </w:r>
      <w:r>
        <w:rPr>
          <w:rFonts w:ascii="Arial" w:hAnsi="Arial" w:cs="Arial"/>
          <w:sz w:val="24"/>
          <w:szCs w:val="24"/>
        </w:rPr>
        <w:t>a Ley de la Guardia Nacional, son</w:t>
      </w:r>
      <w:r w:rsidR="009B062D">
        <w:rPr>
          <w:rFonts w:ascii="Arial" w:hAnsi="Arial" w:cs="Arial"/>
          <w:sz w:val="24"/>
          <w:szCs w:val="24"/>
        </w:rPr>
        <w:t xml:space="preserve"> contraria</w:t>
      </w:r>
      <w:r>
        <w:rPr>
          <w:rFonts w:ascii="Arial" w:hAnsi="Arial" w:cs="Arial"/>
          <w:sz w:val="24"/>
          <w:szCs w:val="24"/>
        </w:rPr>
        <w:t>s</w:t>
      </w:r>
      <w:r w:rsidR="009B062D">
        <w:rPr>
          <w:rFonts w:ascii="Arial" w:hAnsi="Arial" w:cs="Arial"/>
          <w:sz w:val="24"/>
          <w:szCs w:val="24"/>
        </w:rPr>
        <w:t xml:space="preserve"> al tercer párrafo del artículo 32 de la Constitución toda vez que permite que integrantes de la Guardia Nacional al incorporarse a la Secretaría de la Defensa Nacional y tener la misma jerarquía que el Ejército sin necesidad de cumplir con el requisito consistente de </w:t>
      </w:r>
      <w:r w:rsidR="00D04576">
        <w:rPr>
          <w:rFonts w:ascii="Arial" w:hAnsi="Arial" w:cs="Arial"/>
          <w:sz w:val="24"/>
          <w:szCs w:val="24"/>
        </w:rPr>
        <w:t xml:space="preserve">ser </w:t>
      </w:r>
      <w:r w:rsidR="009B062D">
        <w:rPr>
          <w:rFonts w:ascii="Arial" w:hAnsi="Arial" w:cs="Arial"/>
          <w:sz w:val="24"/>
          <w:szCs w:val="24"/>
        </w:rPr>
        <w:t>“</w:t>
      </w:r>
      <w:r w:rsidR="009B062D" w:rsidRPr="001E3E5E">
        <w:rPr>
          <w:rFonts w:ascii="Arial" w:hAnsi="Arial" w:cs="Arial"/>
          <w:i/>
          <w:sz w:val="24"/>
          <w:szCs w:val="24"/>
        </w:rPr>
        <w:t>mexicanos por nacimiento</w:t>
      </w:r>
      <w:r w:rsidR="009B062D">
        <w:rPr>
          <w:rFonts w:ascii="Arial" w:hAnsi="Arial" w:cs="Arial"/>
          <w:sz w:val="24"/>
          <w:szCs w:val="24"/>
        </w:rPr>
        <w:t>”.</w:t>
      </w:r>
    </w:p>
    <w:p w14:paraId="0A4B8D69" w14:textId="77777777" w:rsidR="00D04576" w:rsidRPr="00D04576" w:rsidRDefault="00D04576" w:rsidP="00D04576">
      <w:pPr>
        <w:ind w:left="708"/>
        <w:jc w:val="both"/>
        <w:rPr>
          <w:rFonts w:ascii="Arial" w:hAnsi="Arial" w:cs="Arial"/>
          <w:i/>
          <w:sz w:val="24"/>
          <w:szCs w:val="24"/>
        </w:rPr>
      </w:pPr>
      <w:r w:rsidRPr="00D04576">
        <w:rPr>
          <w:rFonts w:ascii="Arial" w:hAnsi="Arial" w:cs="Arial"/>
          <w:i/>
          <w:sz w:val="24"/>
          <w:szCs w:val="24"/>
        </w:rPr>
        <w:t xml:space="preserve">Artículo 32. La Ley regulará el ejercicio de los derechos que la legislación mexicana otorga a los mexicanos que posean otra nacionalidad y establecerá normas para evitar conflictos por doble nacionalidad. </w:t>
      </w:r>
    </w:p>
    <w:p w14:paraId="0F7C9F42" w14:textId="77777777" w:rsidR="00D04576" w:rsidRPr="00D04576" w:rsidRDefault="00D04576" w:rsidP="00D04576">
      <w:pPr>
        <w:ind w:left="708"/>
        <w:jc w:val="both"/>
        <w:rPr>
          <w:rFonts w:ascii="Arial" w:hAnsi="Arial" w:cs="Arial"/>
          <w:i/>
          <w:sz w:val="24"/>
          <w:szCs w:val="24"/>
        </w:rPr>
      </w:pPr>
      <w:r w:rsidRPr="00D04576">
        <w:rPr>
          <w:rFonts w:ascii="Arial" w:hAnsi="Arial" w:cs="Arial"/>
          <w:i/>
          <w:sz w:val="24"/>
          <w:szCs w:val="24"/>
        </w:rPr>
        <w:t xml:space="preserve">El ejercicio de los cargos y funciones para los cuales, por disposición de la presente Constitución, se requiera ser mexicano por nacimiento, se reserva a quienes tengan esa calidad y no adquieran otra nacionalidad. Esta reserva también será aplicable a los casos que así lo señalen otras leyes del Congreso de la Unión. </w:t>
      </w:r>
    </w:p>
    <w:p w14:paraId="3AF65D9A" w14:textId="77777777" w:rsidR="00D04576" w:rsidRPr="00D04576" w:rsidRDefault="00D04576" w:rsidP="00D04576">
      <w:pPr>
        <w:ind w:left="708"/>
        <w:jc w:val="both"/>
        <w:rPr>
          <w:rFonts w:ascii="Arial" w:hAnsi="Arial" w:cs="Arial"/>
          <w:b/>
          <w:i/>
          <w:sz w:val="24"/>
          <w:szCs w:val="24"/>
          <w:u w:val="single"/>
        </w:rPr>
      </w:pPr>
      <w:r w:rsidRPr="00D04576">
        <w:rPr>
          <w:rFonts w:ascii="Arial" w:hAnsi="Arial" w:cs="Arial"/>
          <w:b/>
          <w:i/>
          <w:sz w:val="24"/>
          <w:szCs w:val="24"/>
        </w:rPr>
        <w:t xml:space="preserve">En tiempo de paz, ningún extranjero podrá servir en el Ejército, ni en las fuerzas de policía o seguridad pública. Para pertenecer al activo del Ejército en tiempo de paz y al de la Armada o al de la Fuerza Aérea en todo momento, o desempeñar cualquier cargo o comisión en ellos, se requiere ser </w:t>
      </w:r>
      <w:r w:rsidRPr="00D04576">
        <w:rPr>
          <w:rFonts w:ascii="Arial" w:hAnsi="Arial" w:cs="Arial"/>
          <w:b/>
          <w:i/>
          <w:sz w:val="24"/>
          <w:szCs w:val="24"/>
          <w:u w:val="single"/>
        </w:rPr>
        <w:t xml:space="preserve">mexicano por nacimiento. </w:t>
      </w:r>
    </w:p>
    <w:p w14:paraId="1871A062" w14:textId="77777777" w:rsidR="00D04576" w:rsidRPr="00D04576" w:rsidRDefault="00D04576" w:rsidP="00D04576">
      <w:pPr>
        <w:ind w:left="708"/>
        <w:jc w:val="both"/>
        <w:rPr>
          <w:rFonts w:ascii="Arial" w:hAnsi="Arial" w:cs="Arial"/>
          <w:i/>
          <w:sz w:val="24"/>
          <w:szCs w:val="24"/>
        </w:rPr>
      </w:pPr>
      <w:r w:rsidRPr="00D04576">
        <w:rPr>
          <w:rFonts w:ascii="Arial" w:hAnsi="Arial" w:cs="Arial"/>
          <w:i/>
          <w:sz w:val="24"/>
          <w:szCs w:val="24"/>
        </w:rPr>
        <w:t xml:space="preserve">Esta misma calidad será indispensable en capitanes, pilotos, patrones, maquinistas, mecánicos y, de una manera general, para todo el personal que tripule cualquier embarcación o aeronave que se ampare con la bandera o insignia mercante mexicana. Será también necesaria para desempeñar los cargos de capitán de puerto y todos los servicios de practicaje y comandante de aeródromo. </w:t>
      </w:r>
    </w:p>
    <w:p w14:paraId="5A22955C" w14:textId="77777777" w:rsidR="00D04576" w:rsidRPr="00D04576" w:rsidRDefault="00D04576" w:rsidP="00D04576">
      <w:pPr>
        <w:ind w:left="708"/>
        <w:jc w:val="both"/>
        <w:rPr>
          <w:rFonts w:ascii="Arial" w:hAnsi="Arial" w:cs="Arial"/>
          <w:i/>
          <w:sz w:val="24"/>
          <w:szCs w:val="24"/>
        </w:rPr>
      </w:pPr>
      <w:r w:rsidRPr="00D04576">
        <w:rPr>
          <w:rFonts w:ascii="Arial" w:hAnsi="Arial" w:cs="Arial"/>
          <w:i/>
          <w:sz w:val="24"/>
          <w:szCs w:val="24"/>
        </w:rPr>
        <w:t>Los mexicanos serán preferidos a los extranjeros en igualdad de circunstancias, para toda clase de concesiones y para todos los empleos, cargos o comisiones de gobierno en que no sea indispensable la calidad de ciudadano.</w:t>
      </w:r>
    </w:p>
    <w:p w14:paraId="737380BC" w14:textId="77777777" w:rsidR="009B062D" w:rsidRPr="00D04576" w:rsidRDefault="009B062D" w:rsidP="009B062D">
      <w:pPr>
        <w:jc w:val="both"/>
        <w:rPr>
          <w:rFonts w:ascii="Arial" w:hAnsi="Arial" w:cs="Arial"/>
          <w:sz w:val="24"/>
        </w:rPr>
      </w:pPr>
      <w:r w:rsidRPr="00D04576">
        <w:rPr>
          <w:rFonts w:ascii="Arial" w:hAnsi="Arial" w:cs="Arial"/>
          <w:sz w:val="24"/>
        </w:rPr>
        <w:t>Ley de la Guardia Nacional:</w:t>
      </w:r>
    </w:p>
    <w:p w14:paraId="311E9619" w14:textId="04BE4834" w:rsidR="009B062D" w:rsidRPr="00D04576" w:rsidRDefault="00D04576" w:rsidP="00D04576">
      <w:pPr>
        <w:ind w:left="708"/>
        <w:jc w:val="both"/>
        <w:rPr>
          <w:rFonts w:ascii="Arial" w:hAnsi="Arial" w:cs="Arial"/>
          <w:i/>
          <w:sz w:val="24"/>
          <w:szCs w:val="24"/>
        </w:rPr>
      </w:pPr>
      <w:r>
        <w:rPr>
          <w:rFonts w:ascii="Arial" w:hAnsi="Arial" w:cs="Arial"/>
          <w:sz w:val="24"/>
          <w:szCs w:val="24"/>
        </w:rPr>
        <w:lastRenderedPageBreak/>
        <w:t xml:space="preserve">[…] </w:t>
      </w:r>
      <w:r w:rsidR="009B062D" w:rsidRPr="00677AEC">
        <w:rPr>
          <w:rFonts w:ascii="Arial" w:hAnsi="Arial" w:cs="Arial"/>
          <w:sz w:val="24"/>
          <w:szCs w:val="24"/>
        </w:rPr>
        <w:t xml:space="preserve">Artículo 25. </w:t>
      </w:r>
      <w:r w:rsidR="009B062D" w:rsidRPr="00D04576">
        <w:rPr>
          <w:rFonts w:ascii="Arial" w:hAnsi="Arial" w:cs="Arial"/>
          <w:i/>
          <w:sz w:val="24"/>
          <w:szCs w:val="24"/>
        </w:rPr>
        <w:t>Para ingresar a l</w:t>
      </w:r>
      <w:r>
        <w:rPr>
          <w:rFonts w:ascii="Arial" w:hAnsi="Arial" w:cs="Arial"/>
          <w:i/>
          <w:sz w:val="24"/>
          <w:szCs w:val="24"/>
        </w:rPr>
        <w:t>a Guardia Nacional se requiere:</w:t>
      </w:r>
    </w:p>
    <w:p w14:paraId="7D7102D6" w14:textId="1E8F0106" w:rsidR="009B062D" w:rsidRPr="00543111" w:rsidRDefault="009B062D" w:rsidP="00543111">
      <w:pPr>
        <w:pStyle w:val="Prrafodelista"/>
        <w:numPr>
          <w:ilvl w:val="0"/>
          <w:numId w:val="44"/>
        </w:numPr>
        <w:jc w:val="both"/>
        <w:rPr>
          <w:rFonts w:ascii="Arial" w:hAnsi="Arial" w:cs="Arial"/>
          <w:sz w:val="24"/>
          <w:szCs w:val="24"/>
        </w:rPr>
      </w:pPr>
      <w:r w:rsidRPr="00543111">
        <w:rPr>
          <w:rFonts w:ascii="Arial" w:hAnsi="Arial" w:cs="Arial"/>
          <w:i/>
          <w:sz w:val="24"/>
          <w:szCs w:val="24"/>
        </w:rPr>
        <w:t>Ser ciudadano mexicano, en pleno ejercicio de sus derechos políticos y civiles</w:t>
      </w:r>
      <w:r w:rsidRPr="00543111">
        <w:rPr>
          <w:rFonts w:ascii="Arial" w:hAnsi="Arial" w:cs="Arial"/>
          <w:sz w:val="24"/>
          <w:szCs w:val="24"/>
        </w:rPr>
        <w:t>;</w:t>
      </w:r>
      <w:r w:rsidR="00D04576" w:rsidRPr="00543111">
        <w:rPr>
          <w:rFonts w:ascii="Arial" w:hAnsi="Arial" w:cs="Arial"/>
          <w:sz w:val="24"/>
          <w:szCs w:val="24"/>
        </w:rPr>
        <w:t xml:space="preserve"> […]</w:t>
      </w:r>
    </w:p>
    <w:p w14:paraId="547D6510" w14:textId="7A051390" w:rsidR="007C0E90" w:rsidRDefault="007057F7" w:rsidP="007C0E90">
      <w:pPr>
        <w:jc w:val="both"/>
        <w:rPr>
          <w:rFonts w:ascii="Arial" w:hAnsi="Arial" w:cs="Arial"/>
          <w:b/>
          <w:sz w:val="24"/>
          <w:szCs w:val="24"/>
        </w:rPr>
      </w:pPr>
      <w:r w:rsidRPr="007057F7">
        <w:rPr>
          <w:rFonts w:ascii="Arial" w:hAnsi="Arial" w:cs="Arial"/>
          <w:b/>
          <w:sz w:val="24"/>
          <w:szCs w:val="24"/>
        </w:rPr>
        <w:t>NOVENO</w:t>
      </w:r>
      <w:r w:rsidR="00543111" w:rsidRPr="007057F7">
        <w:rPr>
          <w:rFonts w:ascii="Arial" w:hAnsi="Arial" w:cs="Arial"/>
          <w:b/>
          <w:sz w:val="24"/>
          <w:szCs w:val="24"/>
        </w:rPr>
        <w:t>.</w:t>
      </w:r>
      <w:r w:rsidR="00543111">
        <w:rPr>
          <w:rFonts w:ascii="Arial" w:hAnsi="Arial" w:cs="Arial"/>
          <w:sz w:val="24"/>
          <w:szCs w:val="24"/>
        </w:rPr>
        <w:t xml:space="preserve"> </w:t>
      </w:r>
      <w:r w:rsidR="00200311">
        <w:rPr>
          <w:rFonts w:ascii="Arial" w:hAnsi="Arial" w:cs="Arial"/>
          <w:sz w:val="24"/>
          <w:szCs w:val="24"/>
        </w:rPr>
        <w:t>Las normas generales reclamadas son contrarias a</w:t>
      </w:r>
      <w:r w:rsidR="007C0E90">
        <w:rPr>
          <w:rFonts w:ascii="Arial" w:hAnsi="Arial" w:cs="Arial"/>
          <w:sz w:val="24"/>
          <w:szCs w:val="24"/>
        </w:rPr>
        <w:t xml:space="preserve"> los</w:t>
      </w:r>
      <w:r w:rsidR="00200311">
        <w:rPr>
          <w:rFonts w:ascii="Arial" w:hAnsi="Arial" w:cs="Arial"/>
          <w:sz w:val="24"/>
          <w:szCs w:val="24"/>
        </w:rPr>
        <w:t xml:space="preserve"> artículo</w:t>
      </w:r>
      <w:r w:rsidR="007C0E90">
        <w:rPr>
          <w:rFonts w:ascii="Arial" w:hAnsi="Arial" w:cs="Arial"/>
          <w:sz w:val="24"/>
          <w:szCs w:val="24"/>
        </w:rPr>
        <w:t xml:space="preserve">s a </w:t>
      </w:r>
      <w:r w:rsidR="007C0E90" w:rsidRPr="00F37259">
        <w:rPr>
          <w:rFonts w:ascii="Arial" w:hAnsi="Arial" w:cs="Arial"/>
          <w:sz w:val="24"/>
          <w:szCs w:val="24"/>
          <w:shd w:val="clear" w:color="auto" w:fill="FFFFFF"/>
        </w:rPr>
        <w:t>los artículos 14 y 16 de la Constitución Política de los Estados Unidos Mexicanos de los cuales emanan los principios de “</w:t>
      </w:r>
      <w:r w:rsidR="007C0E90" w:rsidRPr="00F37259">
        <w:rPr>
          <w:rFonts w:ascii="Arial" w:hAnsi="Arial" w:cs="Arial"/>
          <w:i/>
          <w:sz w:val="24"/>
          <w:szCs w:val="24"/>
          <w:u w:val="single"/>
          <w:shd w:val="clear" w:color="auto" w:fill="FFFFFF"/>
        </w:rPr>
        <w:t>legalidad</w:t>
      </w:r>
      <w:r w:rsidR="007C0E90" w:rsidRPr="00F37259">
        <w:rPr>
          <w:rFonts w:ascii="Arial" w:hAnsi="Arial" w:cs="Arial"/>
          <w:sz w:val="24"/>
          <w:szCs w:val="24"/>
          <w:shd w:val="clear" w:color="auto" w:fill="FFFFFF"/>
        </w:rPr>
        <w:t xml:space="preserve">” y </w:t>
      </w:r>
      <w:r w:rsidR="007C0E90" w:rsidRPr="00F37259">
        <w:rPr>
          <w:rFonts w:ascii="Arial" w:hAnsi="Arial" w:cs="Arial"/>
          <w:sz w:val="24"/>
          <w:szCs w:val="24"/>
          <w:u w:val="single"/>
          <w:shd w:val="clear" w:color="auto" w:fill="FFFFFF"/>
        </w:rPr>
        <w:t>seguridad jurídica</w:t>
      </w:r>
      <w:r w:rsidR="007C0E90" w:rsidRPr="00F37259">
        <w:rPr>
          <w:rFonts w:ascii="Arial" w:hAnsi="Arial" w:cs="Arial"/>
          <w:sz w:val="24"/>
          <w:szCs w:val="24"/>
          <w:shd w:val="clear" w:color="auto" w:fill="FFFFFF"/>
        </w:rPr>
        <w:t xml:space="preserve"> para los ciudadanos, mediante </w:t>
      </w:r>
      <w:r w:rsidR="007C0E90">
        <w:rPr>
          <w:rFonts w:ascii="Arial" w:hAnsi="Arial" w:cs="Arial"/>
          <w:sz w:val="24"/>
          <w:szCs w:val="24"/>
          <w:shd w:val="clear" w:color="auto" w:fill="FFFFFF"/>
        </w:rPr>
        <w:t xml:space="preserve">estos principios </w:t>
      </w:r>
      <w:r w:rsidR="007C0E90" w:rsidRPr="00F37259">
        <w:rPr>
          <w:rFonts w:ascii="Arial" w:hAnsi="Arial" w:cs="Arial"/>
          <w:sz w:val="24"/>
          <w:szCs w:val="24"/>
          <w:shd w:val="clear" w:color="auto" w:fill="FFFFFF"/>
        </w:rPr>
        <w:t xml:space="preserve">se </w:t>
      </w:r>
      <w:r w:rsidR="007C0E90" w:rsidRPr="00F37259">
        <w:rPr>
          <w:rFonts w:ascii="Arial" w:hAnsi="Arial" w:cs="Arial"/>
          <w:color w:val="000000"/>
          <w:sz w:val="24"/>
          <w:szCs w:val="24"/>
        </w:rPr>
        <w:t>impone la ineludible obligación a cargo de las autoridades para que, de manera previa al dictado de un acto de privación, cumplan con una serie de formalidades esenciales, necesarias para oír en defensa a los afectados. Dichas formalidades y su observancia, a las que se unen, además,</w:t>
      </w:r>
      <w:r w:rsidR="007C0E90">
        <w:rPr>
          <w:rFonts w:ascii="Arial" w:hAnsi="Arial" w:cs="Arial"/>
          <w:color w:val="000000"/>
          <w:sz w:val="24"/>
          <w:szCs w:val="24"/>
        </w:rPr>
        <w:t xml:space="preserve"> las relativas a la garantía de legalidad</w:t>
      </w:r>
      <w:r w:rsidR="007C0E90" w:rsidRPr="00F37259">
        <w:rPr>
          <w:rFonts w:ascii="Arial" w:hAnsi="Arial" w:cs="Arial"/>
          <w:color w:val="000000"/>
          <w:sz w:val="24"/>
          <w:szCs w:val="24"/>
        </w:rPr>
        <w:t xml:space="preserve">, </w:t>
      </w:r>
      <w:r w:rsidR="007C0E90">
        <w:rPr>
          <w:rFonts w:ascii="Arial" w:hAnsi="Arial" w:cs="Arial"/>
          <w:color w:val="000000"/>
          <w:sz w:val="24"/>
          <w:szCs w:val="24"/>
        </w:rPr>
        <w:t xml:space="preserve">que </w:t>
      </w:r>
      <w:r w:rsidR="007C0E90" w:rsidRPr="00F37259">
        <w:rPr>
          <w:rFonts w:ascii="Arial" w:hAnsi="Arial" w:cs="Arial"/>
          <w:color w:val="000000"/>
          <w:sz w:val="24"/>
          <w:szCs w:val="24"/>
        </w:rPr>
        <w:t xml:space="preserve">se constituyen como elementos fundamentales útiles para demostrar a los afectados por un acto de autoridad, que </w:t>
      </w:r>
      <w:r w:rsidR="007C0E90">
        <w:rPr>
          <w:rFonts w:ascii="Arial" w:hAnsi="Arial" w:cs="Arial"/>
          <w:color w:val="000000"/>
          <w:sz w:val="24"/>
          <w:szCs w:val="24"/>
        </w:rPr>
        <w:t>el acto</w:t>
      </w:r>
      <w:r w:rsidR="007C0E90" w:rsidRPr="00F37259">
        <w:rPr>
          <w:rFonts w:ascii="Arial" w:hAnsi="Arial" w:cs="Arial"/>
          <w:color w:val="000000"/>
          <w:sz w:val="24"/>
          <w:szCs w:val="24"/>
        </w:rPr>
        <w:t xml:space="preserve"> que los agravia no se dicta de un modo arbitrario y anárquico sino, por el contrario, en estricta observancia del marco jurídico que la rige. </w:t>
      </w:r>
      <w:r w:rsidR="007C0E90" w:rsidRPr="00F37259">
        <w:rPr>
          <w:rFonts w:ascii="Arial" w:hAnsi="Arial" w:cs="Arial"/>
          <w:sz w:val="24"/>
          <w:szCs w:val="24"/>
          <w:shd w:val="clear" w:color="auto" w:fill="FFFFFF"/>
        </w:rPr>
        <w:t xml:space="preserve"> </w:t>
      </w:r>
      <w:r w:rsidR="007C0E90">
        <w:rPr>
          <w:rFonts w:ascii="Arial" w:hAnsi="Arial" w:cs="Arial"/>
          <w:sz w:val="24"/>
          <w:szCs w:val="24"/>
          <w:shd w:val="clear" w:color="auto" w:fill="FFFFFF"/>
        </w:rPr>
        <w:t>Son aplicables a lo anterior la jurisprudencia y tesis de rubros siguientes: “</w:t>
      </w:r>
      <w:r w:rsidR="007C0E90" w:rsidRPr="00F37259">
        <w:rPr>
          <w:rFonts w:ascii="Arial" w:hAnsi="Arial" w:cs="Arial"/>
          <w:b/>
          <w:i/>
          <w:sz w:val="24"/>
          <w:szCs w:val="24"/>
          <w:shd w:val="clear" w:color="auto" w:fill="FFFFFF"/>
        </w:rPr>
        <w:t>AUDIENCIA, CÓMO SE INTEGRA ESTA GARANTÍA</w:t>
      </w:r>
      <w:r w:rsidR="007C0E90">
        <w:rPr>
          <w:rFonts w:ascii="Arial" w:hAnsi="Arial" w:cs="Arial"/>
          <w:sz w:val="24"/>
          <w:szCs w:val="24"/>
          <w:shd w:val="clear" w:color="auto" w:fill="FFFFFF"/>
        </w:rPr>
        <w:t>”</w:t>
      </w:r>
      <w:r w:rsidR="007C0E90">
        <w:rPr>
          <w:rStyle w:val="Refdenotaalpie"/>
          <w:rFonts w:ascii="Arial" w:hAnsi="Arial" w:cs="Arial"/>
          <w:sz w:val="24"/>
          <w:szCs w:val="24"/>
          <w:shd w:val="clear" w:color="auto" w:fill="FFFFFF"/>
        </w:rPr>
        <w:footnoteReference w:id="51"/>
      </w:r>
      <w:r w:rsidR="007C0E90">
        <w:rPr>
          <w:rFonts w:ascii="Arial" w:hAnsi="Arial" w:cs="Arial"/>
          <w:sz w:val="24"/>
          <w:szCs w:val="24"/>
          <w:shd w:val="clear" w:color="auto" w:fill="FFFFFF"/>
        </w:rPr>
        <w:t xml:space="preserve"> y </w:t>
      </w:r>
      <w:r w:rsidR="007C0E90">
        <w:rPr>
          <w:rFonts w:ascii="Arial" w:hAnsi="Arial" w:cs="Arial"/>
          <w:b/>
          <w:sz w:val="24"/>
          <w:szCs w:val="24"/>
        </w:rPr>
        <w:t>“</w:t>
      </w:r>
      <w:r w:rsidR="007C0E90" w:rsidRPr="00F37259">
        <w:rPr>
          <w:rFonts w:ascii="Arial" w:hAnsi="Arial" w:cs="Arial"/>
          <w:b/>
          <w:i/>
          <w:sz w:val="24"/>
          <w:szCs w:val="24"/>
        </w:rPr>
        <w:t>LEGALIDAD, GARANTIA DE</w:t>
      </w:r>
      <w:r w:rsidR="007C0E90">
        <w:rPr>
          <w:rFonts w:ascii="Arial" w:hAnsi="Arial" w:cs="Arial"/>
          <w:b/>
          <w:sz w:val="24"/>
          <w:szCs w:val="24"/>
        </w:rPr>
        <w:t>”</w:t>
      </w:r>
      <w:r w:rsidR="007C0E90" w:rsidRPr="009A614F">
        <w:rPr>
          <w:rStyle w:val="Refdenotaalpie"/>
          <w:rFonts w:ascii="Arial" w:hAnsi="Arial" w:cs="Arial"/>
          <w:sz w:val="24"/>
          <w:szCs w:val="24"/>
        </w:rPr>
        <w:footnoteReference w:id="52"/>
      </w:r>
    </w:p>
    <w:p w14:paraId="78DDFF06" w14:textId="6FF88DFF" w:rsidR="007C0E90" w:rsidRDefault="009A614F" w:rsidP="000257F4">
      <w:pPr>
        <w:spacing w:before="240"/>
        <w:ind w:right="49"/>
        <w:jc w:val="both"/>
        <w:rPr>
          <w:rFonts w:ascii="Arial" w:hAnsi="Arial" w:cs="Arial"/>
          <w:sz w:val="24"/>
          <w:szCs w:val="24"/>
        </w:rPr>
      </w:pPr>
      <w:r>
        <w:rPr>
          <w:rFonts w:ascii="Arial" w:hAnsi="Arial" w:cs="Arial"/>
          <w:sz w:val="24"/>
          <w:szCs w:val="24"/>
        </w:rPr>
        <w:t>Además, e</w:t>
      </w:r>
      <w:r w:rsidR="007C0E90" w:rsidRPr="004B1FC8">
        <w:rPr>
          <w:rFonts w:ascii="Arial" w:hAnsi="Arial" w:cs="Arial"/>
          <w:sz w:val="24"/>
          <w:szCs w:val="24"/>
        </w:rPr>
        <w:t>l acto reclamado</w:t>
      </w:r>
      <w:r w:rsidR="007C0E90" w:rsidRPr="004B1FC8">
        <w:rPr>
          <w:rFonts w:ascii="Arial" w:hAnsi="Arial" w:cs="Arial"/>
          <w:b/>
          <w:sz w:val="24"/>
          <w:szCs w:val="24"/>
        </w:rPr>
        <w:t xml:space="preserve"> </w:t>
      </w:r>
      <w:r w:rsidR="007C0E90" w:rsidRPr="00AF60F9">
        <w:rPr>
          <w:rFonts w:ascii="Arial" w:hAnsi="Arial" w:cs="Arial"/>
          <w:sz w:val="24"/>
          <w:szCs w:val="24"/>
        </w:rPr>
        <w:t>es contrario</w:t>
      </w:r>
      <w:r w:rsidR="007C0E90">
        <w:rPr>
          <w:rFonts w:ascii="Arial" w:hAnsi="Arial" w:cs="Arial"/>
          <w:sz w:val="24"/>
          <w:szCs w:val="24"/>
        </w:rPr>
        <w:t xml:space="preserve"> al artículo 16 Constitucional, en razón de que el citado artículo contempla la obligación de las autoridades de fundar y motivar sus actos. La siguiente jurisprudencia interpreta ampliamente en que consiste la fundamentación y motivación:</w:t>
      </w:r>
    </w:p>
    <w:p w14:paraId="778D931F" w14:textId="77777777" w:rsidR="007C0E90" w:rsidRPr="00CB200E" w:rsidRDefault="007C0E90" w:rsidP="007C0E90">
      <w:pPr>
        <w:spacing w:after="0" w:line="240" w:lineRule="auto"/>
        <w:ind w:left="567" w:right="284"/>
        <w:jc w:val="both"/>
        <w:rPr>
          <w:rFonts w:ascii="Arial" w:hAnsi="Arial" w:cs="Arial"/>
          <w:i/>
          <w:szCs w:val="24"/>
        </w:rPr>
      </w:pPr>
      <w:r>
        <w:rPr>
          <w:rFonts w:ascii="Arial" w:hAnsi="Arial" w:cs="Arial"/>
          <w:b/>
          <w:i/>
          <w:szCs w:val="24"/>
        </w:rPr>
        <w:t>“</w:t>
      </w:r>
      <w:r w:rsidRPr="0031523D">
        <w:rPr>
          <w:rFonts w:ascii="Arial" w:hAnsi="Arial" w:cs="Arial"/>
          <w:b/>
          <w:i/>
          <w:szCs w:val="24"/>
        </w:rPr>
        <w:t>FUNDAMENTACION Y MOTIVACION.</w:t>
      </w:r>
      <w:r>
        <w:rPr>
          <w:rFonts w:ascii="Arial" w:hAnsi="Arial" w:cs="Arial"/>
          <w:b/>
          <w:i/>
          <w:szCs w:val="24"/>
        </w:rPr>
        <w:t xml:space="preserve"> </w:t>
      </w:r>
      <w:r w:rsidRPr="00CB200E">
        <w:rPr>
          <w:rFonts w:ascii="Arial" w:hAnsi="Arial" w:cs="Arial"/>
          <w:i/>
          <w:szCs w:val="24"/>
        </w:rPr>
        <w:t xml:space="preserve">De acuerdo con el artículo 16 de la Constitución Federal, todo acto de autoridad debe estar adecuada y suficientemente fundado y motivado, entendiéndose por lo primero que ha de expresarse con precisión el precepto legal aplicable al caso y, por lo segundo, que también </w:t>
      </w:r>
      <w:r w:rsidRPr="009600F1">
        <w:rPr>
          <w:rFonts w:ascii="Arial" w:hAnsi="Arial" w:cs="Arial"/>
          <w:i/>
          <w:szCs w:val="24"/>
          <w:u w:val="single"/>
        </w:rPr>
        <w:t>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r>
        <w:rPr>
          <w:rFonts w:ascii="Arial" w:hAnsi="Arial" w:cs="Arial"/>
          <w:i/>
          <w:szCs w:val="24"/>
        </w:rPr>
        <w:t>”</w:t>
      </w:r>
      <w:r>
        <w:rPr>
          <w:rStyle w:val="Refdenotaalpie"/>
          <w:rFonts w:ascii="Arial" w:hAnsi="Arial" w:cs="Arial"/>
          <w:i/>
          <w:szCs w:val="24"/>
        </w:rPr>
        <w:footnoteReference w:id="53"/>
      </w:r>
    </w:p>
    <w:p w14:paraId="0D51F58A" w14:textId="77777777" w:rsidR="007C0E90" w:rsidRPr="009600F1" w:rsidRDefault="007C0E90" w:rsidP="007C0E90">
      <w:pPr>
        <w:spacing w:before="240"/>
        <w:ind w:firstLine="567"/>
        <w:jc w:val="both"/>
        <w:rPr>
          <w:rFonts w:ascii="Arial" w:hAnsi="Arial" w:cs="Arial"/>
          <w:sz w:val="24"/>
          <w:szCs w:val="24"/>
        </w:rPr>
      </w:pPr>
      <w:r w:rsidRPr="009600F1">
        <w:rPr>
          <w:rFonts w:ascii="Arial" w:hAnsi="Arial" w:cs="Arial"/>
          <w:sz w:val="24"/>
          <w:szCs w:val="24"/>
        </w:rPr>
        <w:t xml:space="preserve">En ese sentido, hare especial énfasis </w:t>
      </w:r>
      <w:r>
        <w:rPr>
          <w:rFonts w:ascii="Arial" w:hAnsi="Arial" w:cs="Arial"/>
          <w:sz w:val="24"/>
          <w:szCs w:val="24"/>
        </w:rPr>
        <w:t xml:space="preserve">en la motivación, la cual también es un requisito constitucional indispensable de los actos de autoridad, en el caso concreto, el acto reclamado tiene una indebida e insuficiente motivación, así la siguiente jurisprudencia apoya la interpretación de la </w:t>
      </w:r>
      <w:r w:rsidRPr="009600F1">
        <w:rPr>
          <w:rFonts w:ascii="Arial" w:hAnsi="Arial" w:cs="Arial"/>
          <w:i/>
          <w:sz w:val="24"/>
          <w:szCs w:val="24"/>
        </w:rPr>
        <w:t>motivación</w:t>
      </w:r>
      <w:r>
        <w:rPr>
          <w:rFonts w:ascii="Arial" w:hAnsi="Arial" w:cs="Arial"/>
          <w:sz w:val="24"/>
          <w:szCs w:val="24"/>
        </w:rPr>
        <w:t>:</w:t>
      </w:r>
    </w:p>
    <w:p w14:paraId="1C456A8E" w14:textId="77777777" w:rsidR="007C0E90" w:rsidRDefault="007C0E90" w:rsidP="007C0E90">
      <w:pPr>
        <w:spacing w:before="240" w:line="240" w:lineRule="auto"/>
        <w:ind w:left="567" w:right="284"/>
        <w:jc w:val="both"/>
        <w:rPr>
          <w:rFonts w:ascii="Arial" w:hAnsi="Arial" w:cs="Arial"/>
          <w:i/>
          <w:szCs w:val="24"/>
        </w:rPr>
      </w:pPr>
      <w:r>
        <w:rPr>
          <w:rFonts w:ascii="Arial" w:hAnsi="Arial" w:cs="Arial"/>
          <w:b/>
          <w:i/>
          <w:szCs w:val="24"/>
        </w:rPr>
        <w:t xml:space="preserve"> “</w:t>
      </w:r>
      <w:r w:rsidRPr="0031523D">
        <w:rPr>
          <w:rFonts w:ascii="Arial" w:hAnsi="Arial" w:cs="Arial"/>
          <w:b/>
          <w:i/>
          <w:szCs w:val="24"/>
        </w:rPr>
        <w:t>MOTIVACION, CONCEPTO DE.</w:t>
      </w:r>
      <w:r>
        <w:rPr>
          <w:rFonts w:ascii="Arial" w:hAnsi="Arial" w:cs="Arial"/>
          <w:b/>
          <w:i/>
          <w:szCs w:val="24"/>
        </w:rPr>
        <w:t xml:space="preserve"> </w:t>
      </w:r>
      <w:r w:rsidRPr="009E5F78">
        <w:rPr>
          <w:rFonts w:ascii="Arial" w:hAnsi="Arial" w:cs="Arial"/>
          <w:i/>
          <w:szCs w:val="24"/>
        </w:rPr>
        <w:t xml:space="preserve">La motivación exigida por el artículo 16 constitucional consiste en el </w:t>
      </w:r>
      <w:r w:rsidRPr="009600F1">
        <w:rPr>
          <w:rFonts w:ascii="Arial" w:hAnsi="Arial" w:cs="Arial"/>
          <w:i/>
          <w:szCs w:val="24"/>
          <w:u w:val="single"/>
        </w:rPr>
        <w:t>razonamiento</w:t>
      </w:r>
      <w:r w:rsidRPr="009E5F78">
        <w:rPr>
          <w:rFonts w:ascii="Arial" w:hAnsi="Arial" w:cs="Arial"/>
          <w:i/>
          <w:szCs w:val="24"/>
        </w:rPr>
        <w:t xml:space="preserve">, contenido en el texto mismo del acto autoritario de molestia, según el cual quien lo emite </w:t>
      </w:r>
      <w:r w:rsidRPr="009600F1">
        <w:rPr>
          <w:rFonts w:ascii="Arial" w:hAnsi="Arial" w:cs="Arial"/>
          <w:i/>
          <w:szCs w:val="24"/>
          <w:u w:val="single"/>
        </w:rPr>
        <w:t>llega a la conclusión</w:t>
      </w:r>
      <w:r w:rsidRPr="009E5F78">
        <w:rPr>
          <w:rFonts w:ascii="Arial" w:hAnsi="Arial" w:cs="Arial"/>
          <w:i/>
          <w:szCs w:val="24"/>
        </w:rPr>
        <w:t xml:space="preserve"> de que </w:t>
      </w:r>
      <w:r w:rsidRPr="009600F1">
        <w:rPr>
          <w:rFonts w:ascii="Arial" w:hAnsi="Arial" w:cs="Arial"/>
          <w:i/>
          <w:szCs w:val="24"/>
          <w:u w:val="single"/>
        </w:rPr>
        <w:t>el acto concreto al cual se dirige, se ajusta exactamente a las prevenciones de determinados preceptos legales</w:t>
      </w:r>
      <w:r w:rsidRPr="009E5F78">
        <w:rPr>
          <w:rFonts w:ascii="Arial" w:hAnsi="Arial" w:cs="Arial"/>
          <w:i/>
          <w:szCs w:val="24"/>
        </w:rPr>
        <w:t xml:space="preserve">. Es decir, motivar un acto es </w:t>
      </w:r>
      <w:r w:rsidRPr="009600F1">
        <w:rPr>
          <w:rFonts w:ascii="Arial" w:hAnsi="Arial" w:cs="Arial"/>
          <w:i/>
          <w:szCs w:val="24"/>
          <w:u w:val="single"/>
        </w:rPr>
        <w:t>externar las consideraciones relativas a las circunstancias de hecho que se formula la autoridad para establecer la adecuación del caso concreto a la hipótesis legal</w:t>
      </w:r>
      <w:r>
        <w:rPr>
          <w:rFonts w:ascii="Arial" w:hAnsi="Arial" w:cs="Arial"/>
          <w:i/>
          <w:szCs w:val="24"/>
        </w:rPr>
        <w:t>”</w:t>
      </w:r>
      <w:r>
        <w:rPr>
          <w:rStyle w:val="Refdenotaalpie"/>
          <w:rFonts w:ascii="Arial" w:hAnsi="Arial" w:cs="Arial"/>
          <w:i/>
          <w:szCs w:val="24"/>
        </w:rPr>
        <w:footnoteReference w:id="54"/>
      </w:r>
    </w:p>
    <w:p w14:paraId="76FB9349" w14:textId="3FA99B89" w:rsidR="009124BF" w:rsidRPr="001233BE" w:rsidRDefault="009A614F" w:rsidP="00543111">
      <w:pPr>
        <w:jc w:val="both"/>
        <w:rPr>
          <w:rFonts w:ascii="Arial" w:hAnsi="Arial" w:cs="Arial"/>
          <w:sz w:val="24"/>
          <w:szCs w:val="24"/>
        </w:rPr>
      </w:pPr>
      <w:r>
        <w:rPr>
          <w:rFonts w:ascii="Arial" w:hAnsi="Arial" w:cs="Arial"/>
          <w:sz w:val="24"/>
          <w:szCs w:val="24"/>
        </w:rPr>
        <w:t>Se reitera, las normas generales reclamadas son inconstitucionales</w:t>
      </w:r>
      <w:r w:rsidR="000257F4">
        <w:rPr>
          <w:rFonts w:ascii="Arial" w:hAnsi="Arial" w:cs="Arial"/>
          <w:sz w:val="24"/>
          <w:szCs w:val="24"/>
        </w:rPr>
        <w:t xml:space="preserve"> </w:t>
      </w:r>
      <w:r w:rsidR="00B10837" w:rsidRPr="001233BE">
        <w:rPr>
          <w:rFonts w:ascii="Arial" w:hAnsi="Arial" w:cs="Arial"/>
          <w:sz w:val="24"/>
          <w:szCs w:val="24"/>
        </w:rPr>
        <w:t>porque n</w:t>
      </w:r>
      <w:r w:rsidR="009124BF" w:rsidRPr="001233BE">
        <w:rPr>
          <w:rFonts w:ascii="Arial" w:hAnsi="Arial" w:cs="Arial"/>
          <w:sz w:val="24"/>
          <w:szCs w:val="24"/>
        </w:rPr>
        <w:t>o se advierte la justificación ni la motivación debidas para legitimar la</w:t>
      </w:r>
      <w:r w:rsidR="00BC70BE">
        <w:rPr>
          <w:rFonts w:ascii="Arial" w:hAnsi="Arial" w:cs="Arial"/>
          <w:sz w:val="24"/>
          <w:szCs w:val="24"/>
        </w:rPr>
        <w:t xml:space="preserve"> incorporación implícita de la Guardia Nacional bajo el control, dirección y estructura dentro de la Secretaría de la Defensa Nacional, ni porque le restaron el carácter civil a dicha institución policiaca, y en consecuencia</w:t>
      </w:r>
      <w:r w:rsidR="006F5011">
        <w:rPr>
          <w:rFonts w:ascii="Arial" w:hAnsi="Arial" w:cs="Arial"/>
          <w:sz w:val="24"/>
          <w:szCs w:val="24"/>
        </w:rPr>
        <w:t xml:space="preserve"> la</w:t>
      </w:r>
      <w:r w:rsidR="009124BF" w:rsidRPr="001233BE">
        <w:rPr>
          <w:rFonts w:ascii="Arial" w:hAnsi="Arial" w:cs="Arial"/>
          <w:sz w:val="24"/>
          <w:szCs w:val="24"/>
        </w:rPr>
        <w:t xml:space="preserve"> intervención </w:t>
      </w:r>
      <w:r w:rsidR="006F5011">
        <w:rPr>
          <w:rFonts w:ascii="Arial" w:hAnsi="Arial" w:cs="Arial"/>
          <w:sz w:val="24"/>
          <w:szCs w:val="24"/>
        </w:rPr>
        <w:t>del activo de la Secretaría de la Defensa Nacional</w:t>
      </w:r>
      <w:r w:rsidR="009124BF" w:rsidRPr="001233BE">
        <w:rPr>
          <w:rFonts w:ascii="Arial" w:hAnsi="Arial" w:cs="Arial"/>
          <w:sz w:val="24"/>
          <w:szCs w:val="24"/>
        </w:rPr>
        <w:t xml:space="preserve"> en </w:t>
      </w:r>
      <w:r w:rsidR="009124BF" w:rsidRPr="001233BE">
        <w:rPr>
          <w:rFonts w:ascii="Arial" w:hAnsi="Arial" w:cs="Arial"/>
          <w:sz w:val="24"/>
          <w:szCs w:val="24"/>
        </w:rPr>
        <w:lastRenderedPageBreak/>
        <w:t xml:space="preserve">tareas de seguridad pública, ya que únicamente se indica que la Guardia Nacional se encuentra en proceso de conformación, y que </w:t>
      </w:r>
      <w:r w:rsidR="008D16BA">
        <w:rPr>
          <w:rFonts w:ascii="Arial" w:hAnsi="Arial" w:cs="Arial"/>
          <w:sz w:val="24"/>
          <w:szCs w:val="24"/>
        </w:rPr>
        <w:t>e</w:t>
      </w:r>
      <w:r w:rsidR="008D16BA" w:rsidRPr="008D16BA">
        <w:rPr>
          <w:rFonts w:ascii="Arial" w:hAnsi="Arial" w:cs="Arial"/>
          <w:sz w:val="24"/>
          <w:szCs w:val="24"/>
        </w:rPr>
        <w:t>l personal militar podrá efectuar operaciones de apoyo a las instituciones de seguridad pública en los términos que señale el marco jurídico aplicable</w:t>
      </w:r>
      <w:r w:rsidR="009124BF" w:rsidRPr="001233BE">
        <w:rPr>
          <w:rFonts w:ascii="Arial" w:hAnsi="Arial" w:cs="Arial"/>
          <w:sz w:val="24"/>
          <w:szCs w:val="24"/>
        </w:rPr>
        <w:t>.</w:t>
      </w:r>
    </w:p>
    <w:p w14:paraId="6250AE19" w14:textId="7AEAF4B5" w:rsidR="009124BF" w:rsidRPr="001233BE" w:rsidRDefault="009124BF" w:rsidP="00543111">
      <w:pPr>
        <w:jc w:val="both"/>
        <w:rPr>
          <w:rFonts w:ascii="Arial" w:hAnsi="Arial" w:cs="Arial"/>
          <w:sz w:val="24"/>
          <w:szCs w:val="24"/>
        </w:rPr>
      </w:pPr>
      <w:r w:rsidRPr="001233BE">
        <w:rPr>
          <w:rFonts w:ascii="Arial" w:hAnsi="Arial" w:cs="Arial"/>
          <w:sz w:val="24"/>
          <w:szCs w:val="24"/>
        </w:rPr>
        <w:t>Sin embargo, tal justificación y motivación son insuficientes para la toma de una decisión tan relevante, como lo es la intervención de las Fuerzas Armadas en materia de seguridad pública, en tiempos de paz</w:t>
      </w:r>
      <w:r w:rsidR="008D16BA">
        <w:rPr>
          <w:rFonts w:ascii="Arial" w:hAnsi="Arial" w:cs="Arial"/>
          <w:sz w:val="24"/>
          <w:szCs w:val="24"/>
        </w:rPr>
        <w:t xml:space="preserve"> y de la distorsión de la institución de la Guardia Nacional al carácter militar</w:t>
      </w:r>
      <w:r w:rsidRPr="001233BE">
        <w:rPr>
          <w:rFonts w:ascii="Arial" w:hAnsi="Arial" w:cs="Arial"/>
          <w:sz w:val="24"/>
          <w:szCs w:val="24"/>
        </w:rPr>
        <w:t>; siendo que, como se ha expuesto, por el riesgo que corren los derechos fundamentales de la sociedad con la participación de los elementos castrenses, deben existir razones de peso y fácticamente ciertas, que se expongan en la determinación correspondiente, para legitimar la decisión</w:t>
      </w:r>
    </w:p>
    <w:p w14:paraId="633FB852" w14:textId="0F81F9E0" w:rsidR="00543111" w:rsidRDefault="008D16BA" w:rsidP="00543111">
      <w:pPr>
        <w:jc w:val="both"/>
        <w:rPr>
          <w:rFonts w:ascii="Arial" w:hAnsi="Arial" w:cs="Arial"/>
          <w:sz w:val="24"/>
          <w:szCs w:val="24"/>
        </w:rPr>
      </w:pPr>
      <w:r>
        <w:rPr>
          <w:rFonts w:ascii="Arial" w:hAnsi="Arial" w:cs="Arial"/>
          <w:sz w:val="24"/>
          <w:szCs w:val="24"/>
        </w:rPr>
        <w:t>L</w:t>
      </w:r>
      <w:r w:rsidR="00543111" w:rsidRPr="001233BE">
        <w:rPr>
          <w:rFonts w:ascii="Arial" w:hAnsi="Arial" w:cs="Arial"/>
          <w:sz w:val="24"/>
          <w:szCs w:val="24"/>
        </w:rPr>
        <w:t>a sola mención de que está en formación la Guardia Nacional,</w:t>
      </w:r>
      <w:r>
        <w:rPr>
          <w:rFonts w:ascii="Arial" w:hAnsi="Arial" w:cs="Arial"/>
          <w:sz w:val="24"/>
          <w:szCs w:val="24"/>
        </w:rPr>
        <w:t xml:space="preserve"> y que es necesario capacitarla, no es motivación suficiente para incorporarla a la Secretaría de la Defensa Nacional, toda vez que</w:t>
      </w:r>
      <w:r w:rsidR="001958CD" w:rsidRPr="001233BE">
        <w:rPr>
          <w:rFonts w:ascii="Arial" w:hAnsi="Arial" w:cs="Arial"/>
          <w:sz w:val="24"/>
          <w:szCs w:val="24"/>
        </w:rPr>
        <w:t xml:space="preserve"> la primera condicionante que extrajo el juzgador de los criterios de la Suprema Corte, estriba en que el acuerdo reclamado debe estar debidamente fundado y motivado para justificar la intervención de las fuerzas armadas en tareas de seguridad pública; y la sola mención de que está en formación la Guardia Nacional, no es motivación suficiente.</w:t>
      </w:r>
    </w:p>
    <w:p w14:paraId="102D8DFF" w14:textId="23E4BA91" w:rsidR="005F1C73" w:rsidRDefault="005F1C73" w:rsidP="005F1C73">
      <w:pPr>
        <w:ind w:firstLine="567"/>
        <w:jc w:val="both"/>
        <w:rPr>
          <w:rFonts w:ascii="Arial" w:hAnsi="Arial" w:cs="Arial"/>
          <w:sz w:val="24"/>
          <w:szCs w:val="24"/>
        </w:rPr>
      </w:pPr>
      <w:r w:rsidRPr="005F1C73">
        <w:rPr>
          <w:rFonts w:ascii="Arial" w:hAnsi="Arial" w:cs="Arial"/>
          <w:sz w:val="24"/>
          <w:szCs w:val="24"/>
          <w:shd w:val="clear" w:color="auto" w:fill="FFFFFF"/>
        </w:rPr>
        <w:t xml:space="preserve">Son aplicables a lo anterior, los siguientes criterios del Pleno de la Suprema Corte de Justicia de la </w:t>
      </w:r>
      <w:proofErr w:type="spellStart"/>
      <w:r w:rsidRPr="005F1C73">
        <w:rPr>
          <w:rFonts w:ascii="Arial" w:hAnsi="Arial" w:cs="Arial"/>
          <w:sz w:val="24"/>
          <w:szCs w:val="24"/>
          <w:shd w:val="clear" w:color="auto" w:fill="FFFFFF"/>
        </w:rPr>
        <w:t>Nación,</w:t>
      </w:r>
      <w:r w:rsidRPr="005F1C73">
        <w:rPr>
          <w:rFonts w:ascii="Arial" w:hAnsi="Arial" w:cs="Arial"/>
          <w:sz w:val="24"/>
          <w:szCs w:val="24"/>
        </w:rPr>
        <w:t>al</w:t>
      </w:r>
      <w:proofErr w:type="spellEnd"/>
      <w:r w:rsidRPr="005F1C73">
        <w:rPr>
          <w:rFonts w:ascii="Arial" w:hAnsi="Arial" w:cs="Arial"/>
          <w:sz w:val="24"/>
          <w:szCs w:val="24"/>
        </w:rPr>
        <w:t xml:space="preserve"> resolver la acción de inconstitucionalidad 1/1996, analizó los artículos 16, 29, 89, fracción VI y 129 Constitucionales; proceso constitucional del cual derivaron las jurisprudencias P./J. 38/2000, P./J 37/2000, P./J 36/2000 y P./J 35/20 y también las diversas acciones de inconstitucionalidad acumuladas 6, 8, 9, 10 y 11, todas de 2018; en las cuales analizó la constitucionalidad de la Ley de Seguridad Interior e interpretó los artículos 21, 89 y 129 constitucionales</w:t>
      </w:r>
      <w:r>
        <w:rPr>
          <w:rFonts w:ascii="Arial" w:hAnsi="Arial" w:cs="Arial"/>
          <w:sz w:val="24"/>
          <w:szCs w:val="24"/>
        </w:rPr>
        <w:t>.</w:t>
      </w:r>
    </w:p>
    <w:p w14:paraId="10AE38CC" w14:textId="77777777" w:rsidR="005F1C73" w:rsidRPr="005F1C73" w:rsidRDefault="005F1C73" w:rsidP="005F1C73">
      <w:pPr>
        <w:ind w:firstLine="567"/>
        <w:jc w:val="both"/>
        <w:rPr>
          <w:rFonts w:ascii="Arial" w:hAnsi="Arial" w:cs="Arial"/>
          <w:sz w:val="24"/>
          <w:szCs w:val="24"/>
        </w:rPr>
      </w:pPr>
      <w:r w:rsidRPr="005F1C73">
        <w:rPr>
          <w:rFonts w:ascii="Arial" w:hAnsi="Arial" w:cs="Arial"/>
          <w:sz w:val="24"/>
          <w:szCs w:val="24"/>
        </w:rPr>
        <w:t xml:space="preserve">Fue con base en tales criterios del Alto Tribunal, que en la sentencia impugnada se sostuvo que la intervención de las fuerzas armadas en funciones de seguridad pública y protección ciudadana, está sujeta a diversas condiciones: </w:t>
      </w:r>
    </w:p>
    <w:p w14:paraId="3317675A" w14:textId="3C13A2AD" w:rsidR="005F1C73" w:rsidRPr="005F1C73" w:rsidRDefault="005F1C73" w:rsidP="005F1C73">
      <w:pPr>
        <w:ind w:firstLine="567"/>
        <w:jc w:val="both"/>
        <w:rPr>
          <w:rFonts w:ascii="Arial" w:hAnsi="Arial" w:cs="Arial"/>
          <w:b/>
          <w:i/>
          <w:sz w:val="24"/>
          <w:szCs w:val="24"/>
        </w:rPr>
      </w:pPr>
      <w:r w:rsidRPr="005F1C73">
        <w:rPr>
          <w:rFonts w:ascii="Arial" w:hAnsi="Arial" w:cs="Arial"/>
          <w:sz w:val="24"/>
          <w:szCs w:val="24"/>
        </w:rPr>
        <w:t>I. Ser autorizada por el Presidente de la República, a través de un acto debidamente fundado y motivado.</w:t>
      </w:r>
      <w:r w:rsidR="00936E44">
        <w:rPr>
          <w:rFonts w:ascii="Arial" w:hAnsi="Arial" w:cs="Arial"/>
          <w:sz w:val="24"/>
          <w:szCs w:val="24"/>
        </w:rPr>
        <w:t xml:space="preserve"> Y en el caso que nos ocupa las normas generales reclamadas fundan y motivan debidamente las razones para no respetar el carácter civil de la Guardia Nacional, hacerla de naturaleza castrense, y después encomendarle tareas de la seguridad pública individual y en conjunto con los militares, bajo control de la Secretaría de la Defensa Nacional y no es suficiente mencionar que está en formación la Guardia Nacional. </w:t>
      </w:r>
    </w:p>
    <w:p w14:paraId="241E2C49" w14:textId="1BDB2D01" w:rsidR="004530A7" w:rsidRPr="004530A7" w:rsidRDefault="007057F7" w:rsidP="004530A7">
      <w:pPr>
        <w:jc w:val="both"/>
        <w:rPr>
          <w:rFonts w:ascii="Arial" w:hAnsi="Arial" w:cs="Arial"/>
          <w:b/>
          <w:bCs/>
          <w:sz w:val="24"/>
          <w:szCs w:val="24"/>
          <w:shd w:val="clear" w:color="auto" w:fill="FFFFFF"/>
        </w:rPr>
      </w:pPr>
      <w:r w:rsidRPr="004530A7">
        <w:rPr>
          <w:rFonts w:ascii="Arial" w:hAnsi="Arial" w:cs="Arial"/>
          <w:b/>
          <w:sz w:val="24"/>
          <w:szCs w:val="24"/>
        </w:rPr>
        <w:t>DÉCIMO.</w:t>
      </w:r>
      <w:r w:rsidR="004530A7" w:rsidRPr="004530A7">
        <w:rPr>
          <w:rFonts w:ascii="Arial" w:hAnsi="Arial" w:cs="Arial"/>
          <w:sz w:val="24"/>
          <w:szCs w:val="24"/>
          <w:shd w:val="clear" w:color="auto" w:fill="FFFFFF"/>
        </w:rPr>
        <w:t xml:space="preserve"> Las normas reclamadas son contrarias a los parámetros contemplados en a la interpretación de los artículos 16, 29, 89, fracción VI y 129 de la Constitución Política de los Estados Unidos Mexicanos. </w:t>
      </w:r>
    </w:p>
    <w:p w14:paraId="3495AA1D" w14:textId="77777777" w:rsidR="004530A7" w:rsidRPr="00153C1C" w:rsidRDefault="004530A7" w:rsidP="004530A7">
      <w:pPr>
        <w:pStyle w:val="Cuerpo"/>
        <w:spacing w:line="276" w:lineRule="auto"/>
        <w:jc w:val="both"/>
        <w:rPr>
          <w:rFonts w:ascii="Arial" w:hAnsi="Arial" w:cs="Arial"/>
          <w:color w:val="auto"/>
          <w:sz w:val="24"/>
          <w:szCs w:val="24"/>
          <w:lang w:val="es-ES_tradnl"/>
        </w:rPr>
      </w:pPr>
      <w:r>
        <w:rPr>
          <w:rFonts w:ascii="Arial" w:hAnsi="Arial" w:cs="Arial"/>
          <w:color w:val="auto"/>
          <w:sz w:val="26"/>
          <w:szCs w:val="26"/>
          <w:lang w:val="es-ES_tradnl"/>
        </w:rPr>
        <w:tab/>
        <w:t>Primeramente, habría que mencionar que l</w:t>
      </w:r>
      <w:r w:rsidRPr="00153C1C">
        <w:rPr>
          <w:rFonts w:ascii="Arial" w:hAnsi="Arial" w:cs="Arial"/>
          <w:color w:val="auto"/>
          <w:sz w:val="24"/>
          <w:szCs w:val="24"/>
          <w:lang w:val="es-ES_tradnl"/>
        </w:rPr>
        <w:t>as condiciones de validez para que las Fuerzas Armadas puedan participar en tareas de seguridad pública en tiempo de paz que son transgredidas por los artículos referidos, son las siguientes:</w:t>
      </w:r>
    </w:p>
    <w:p w14:paraId="6CABD9D9" w14:textId="77777777" w:rsidR="004530A7" w:rsidRPr="00153C1C" w:rsidRDefault="004530A7" w:rsidP="004530A7">
      <w:pPr>
        <w:pStyle w:val="Cuerpo"/>
        <w:spacing w:line="276" w:lineRule="auto"/>
        <w:jc w:val="both"/>
        <w:rPr>
          <w:rFonts w:ascii="Arial" w:hAnsi="Arial" w:cs="Arial"/>
          <w:color w:val="auto"/>
          <w:sz w:val="24"/>
          <w:szCs w:val="24"/>
          <w:lang w:val="es-ES_tradnl"/>
        </w:rPr>
      </w:pPr>
    </w:p>
    <w:p w14:paraId="17D14655" w14:textId="77777777" w:rsidR="004530A7" w:rsidRPr="007B077D" w:rsidRDefault="004530A7" w:rsidP="004530A7">
      <w:pPr>
        <w:ind w:firstLine="709"/>
        <w:jc w:val="both"/>
        <w:rPr>
          <w:rFonts w:ascii="Arial" w:hAnsi="Arial" w:cs="Arial"/>
          <w:bCs/>
          <w:i/>
          <w:iCs/>
        </w:rPr>
      </w:pPr>
      <w:r w:rsidRPr="007B077D">
        <w:rPr>
          <w:rFonts w:ascii="Arial" w:hAnsi="Arial" w:cs="Arial"/>
          <w:bCs/>
          <w:i/>
          <w:iCs/>
        </w:rPr>
        <w:t xml:space="preserve">1. Las Fuerzas Armadas tienen facultades para participar en la seguridad interior del Estado en tiempos de paz, siempre y cuando sean previamente autorizadas </w:t>
      </w:r>
      <w:r w:rsidRPr="007B077D">
        <w:rPr>
          <w:rFonts w:ascii="Arial" w:hAnsi="Arial" w:cs="Arial"/>
          <w:bCs/>
          <w:i/>
          <w:iCs/>
          <w:u w:val="single"/>
        </w:rPr>
        <w:t xml:space="preserve">a partir de un mandamiento escrito del Presidente Constitucional de los Estados Unidos Mexicanos que </w:t>
      </w:r>
      <w:r w:rsidRPr="007B077D">
        <w:rPr>
          <w:rFonts w:ascii="Arial" w:hAnsi="Arial" w:cs="Arial"/>
          <w:b/>
          <w:i/>
          <w:iCs/>
          <w:u w:val="single"/>
        </w:rPr>
        <w:t>funde y motive</w:t>
      </w:r>
      <w:r w:rsidRPr="007B077D">
        <w:rPr>
          <w:rFonts w:ascii="Arial" w:hAnsi="Arial" w:cs="Arial"/>
          <w:bCs/>
          <w:i/>
          <w:iCs/>
          <w:u w:val="single"/>
        </w:rPr>
        <w:t xml:space="preserve"> su intervención</w:t>
      </w:r>
      <w:r w:rsidRPr="007B077D">
        <w:rPr>
          <w:rFonts w:ascii="Arial" w:hAnsi="Arial" w:cs="Arial"/>
          <w:bCs/>
          <w:i/>
          <w:iCs/>
        </w:rPr>
        <w:t>.</w:t>
      </w:r>
    </w:p>
    <w:p w14:paraId="5283DEF4" w14:textId="77777777" w:rsidR="004530A7" w:rsidRPr="007B077D" w:rsidRDefault="004530A7" w:rsidP="004530A7">
      <w:pPr>
        <w:ind w:firstLine="709"/>
        <w:jc w:val="both"/>
        <w:rPr>
          <w:rFonts w:ascii="Arial" w:hAnsi="Arial" w:cs="Arial"/>
          <w:bCs/>
          <w:i/>
          <w:iCs/>
        </w:rPr>
      </w:pPr>
      <w:r w:rsidRPr="007B077D">
        <w:rPr>
          <w:rFonts w:ascii="Arial" w:hAnsi="Arial" w:cs="Arial"/>
          <w:bCs/>
          <w:i/>
          <w:iCs/>
        </w:rPr>
        <w:t xml:space="preserve">2. El Presidente de la República está facultado para autorizar a las fuerzas armadas a participar en la seguridad interior del Estado en tiempos de paz mediante la declaratoria referida, </w:t>
      </w:r>
      <w:r w:rsidRPr="007B077D">
        <w:rPr>
          <w:rFonts w:ascii="Arial" w:hAnsi="Arial" w:cs="Arial"/>
          <w:b/>
          <w:i/>
          <w:iCs/>
          <w:u w:val="single"/>
        </w:rPr>
        <w:t>siempre y cuando se actualicen circunstancias excepcionales</w:t>
      </w:r>
      <w:r w:rsidRPr="007B077D">
        <w:rPr>
          <w:rFonts w:ascii="Arial" w:hAnsi="Arial" w:cs="Arial"/>
          <w:bCs/>
          <w:i/>
          <w:iCs/>
        </w:rPr>
        <w:t>.</w:t>
      </w:r>
    </w:p>
    <w:p w14:paraId="280D19B3" w14:textId="77777777" w:rsidR="004530A7" w:rsidRPr="007B077D" w:rsidRDefault="004530A7" w:rsidP="004530A7">
      <w:pPr>
        <w:ind w:firstLine="709"/>
        <w:jc w:val="both"/>
        <w:rPr>
          <w:rFonts w:ascii="Arial" w:hAnsi="Arial" w:cs="Arial"/>
          <w:bCs/>
          <w:i/>
          <w:iCs/>
        </w:rPr>
      </w:pPr>
      <w:r w:rsidRPr="007B077D">
        <w:rPr>
          <w:rFonts w:ascii="Arial" w:hAnsi="Arial" w:cs="Arial"/>
          <w:bCs/>
          <w:i/>
          <w:iCs/>
        </w:rPr>
        <w:lastRenderedPageBreak/>
        <w:t xml:space="preserve">3. La actuación de las Fuerzas Armadas en tareas de seguridad interior en tiempos de paz ante circunstancias excepcionales debe regirse por los criterios de </w:t>
      </w:r>
      <w:r w:rsidRPr="007B077D">
        <w:rPr>
          <w:rFonts w:ascii="Arial" w:hAnsi="Arial" w:cs="Arial"/>
          <w:b/>
          <w:i/>
          <w:iCs/>
          <w:u w:val="single"/>
        </w:rPr>
        <w:t>permanencia, temporalidad y delimitación territorial</w:t>
      </w:r>
      <w:r w:rsidRPr="007B077D">
        <w:rPr>
          <w:rFonts w:ascii="Arial" w:hAnsi="Arial" w:cs="Arial"/>
          <w:bCs/>
          <w:i/>
          <w:iCs/>
        </w:rPr>
        <w:t>.</w:t>
      </w:r>
    </w:p>
    <w:p w14:paraId="199FA073" w14:textId="77777777" w:rsidR="004530A7" w:rsidRPr="007B077D" w:rsidRDefault="004530A7" w:rsidP="004530A7">
      <w:pPr>
        <w:ind w:firstLine="709"/>
        <w:jc w:val="both"/>
        <w:rPr>
          <w:rFonts w:ascii="Arial" w:hAnsi="Arial" w:cs="Arial"/>
          <w:bCs/>
          <w:i/>
          <w:iCs/>
          <w:u w:val="single"/>
          <w:lang w:val="es-ES_tradnl"/>
        </w:rPr>
      </w:pPr>
      <w:r w:rsidRPr="007B077D">
        <w:rPr>
          <w:rFonts w:ascii="Arial" w:hAnsi="Arial" w:cs="Arial"/>
          <w:bCs/>
          <w:i/>
          <w:iCs/>
        </w:rPr>
        <w:t xml:space="preserve">4. Una vez que el Presidente de los Estados Unidos Mexicanos autoriza a las fuerzas armadas a intervenir en determinadas tareas de seguridad interior en tiempos de paz </w:t>
      </w:r>
      <w:r w:rsidRPr="007B077D">
        <w:rPr>
          <w:rFonts w:ascii="Arial" w:hAnsi="Arial" w:cs="Arial"/>
          <w:bCs/>
          <w:i/>
          <w:iCs/>
          <w:u w:val="single"/>
          <w:lang w:val="es-ES_tradnl"/>
        </w:rPr>
        <w:t xml:space="preserve">“será necesario que en las operaciones en las que intervengan estén </w:t>
      </w:r>
      <w:r w:rsidRPr="007B077D">
        <w:rPr>
          <w:rFonts w:ascii="Arial" w:hAnsi="Arial" w:cs="Arial"/>
          <w:b/>
          <w:i/>
          <w:iCs/>
          <w:u w:val="single"/>
          <w:lang w:val="es-ES_tradnl"/>
        </w:rPr>
        <w:t>subordinadas a las autoridades civiles</w:t>
      </w:r>
      <w:r w:rsidRPr="007B077D">
        <w:rPr>
          <w:rFonts w:ascii="Arial" w:hAnsi="Arial" w:cs="Arial"/>
          <w:bCs/>
          <w:i/>
          <w:iCs/>
          <w:u w:val="single"/>
          <w:lang w:val="es-ES_tradnl"/>
        </w:rPr>
        <w:t>” en todo operativo en que intervengan.</w:t>
      </w:r>
    </w:p>
    <w:p w14:paraId="09167819" w14:textId="77777777" w:rsidR="004530A7" w:rsidRDefault="004530A7" w:rsidP="00543111">
      <w:pPr>
        <w:jc w:val="both"/>
        <w:rPr>
          <w:b/>
        </w:rPr>
      </w:pPr>
    </w:p>
    <w:p w14:paraId="4B75E09F" w14:textId="3E0A16EC" w:rsidR="00543111" w:rsidRDefault="00DE7837" w:rsidP="00543111">
      <w:pPr>
        <w:jc w:val="both"/>
      </w:pPr>
      <w:r>
        <w:t xml:space="preserve"> </w:t>
      </w:r>
      <w:r w:rsidR="00543111">
        <w:t>Debe estar delimitado geográficamente, lo que tampoco cumple el acuerdo reclamado pues ordena la participación de los militares en todo el país.</w:t>
      </w:r>
    </w:p>
    <w:p w14:paraId="1DD628EA" w14:textId="068D5807" w:rsidR="005A30F7" w:rsidRPr="004530A7" w:rsidRDefault="004530A7" w:rsidP="00543111">
      <w:pPr>
        <w:jc w:val="both"/>
        <w:rPr>
          <w:rFonts w:ascii="Arial" w:hAnsi="Arial" w:cs="Arial"/>
          <w:sz w:val="24"/>
        </w:rPr>
      </w:pPr>
      <w:r w:rsidRPr="004530A7">
        <w:rPr>
          <w:rFonts w:ascii="Arial" w:hAnsi="Arial" w:cs="Arial"/>
          <w:sz w:val="24"/>
        </w:rPr>
        <w:t xml:space="preserve">Así las normas </w:t>
      </w:r>
      <w:proofErr w:type="spellStart"/>
      <w:r w:rsidRPr="004530A7">
        <w:rPr>
          <w:rFonts w:ascii="Arial" w:hAnsi="Arial" w:cs="Arial"/>
          <w:sz w:val="24"/>
        </w:rPr>
        <w:t>relcamadas</w:t>
      </w:r>
      <w:proofErr w:type="spellEnd"/>
      <w:r w:rsidRPr="004530A7">
        <w:rPr>
          <w:rFonts w:ascii="Arial" w:hAnsi="Arial" w:cs="Arial"/>
          <w:sz w:val="24"/>
        </w:rPr>
        <w:t xml:space="preserve"> no</w:t>
      </w:r>
      <w:r w:rsidR="005A30F7" w:rsidRPr="004530A7">
        <w:rPr>
          <w:rFonts w:ascii="Arial" w:hAnsi="Arial" w:cs="Arial"/>
          <w:sz w:val="24"/>
        </w:rPr>
        <w:t xml:space="preserve"> cumple</w:t>
      </w:r>
      <w:r w:rsidRPr="004530A7">
        <w:rPr>
          <w:rFonts w:ascii="Arial" w:hAnsi="Arial" w:cs="Arial"/>
          <w:sz w:val="24"/>
        </w:rPr>
        <w:t>n</w:t>
      </w:r>
      <w:r w:rsidR="005A30F7" w:rsidRPr="004530A7">
        <w:rPr>
          <w:rFonts w:ascii="Arial" w:hAnsi="Arial" w:cs="Arial"/>
          <w:sz w:val="24"/>
        </w:rPr>
        <w:t xml:space="preserve"> con el criterio de delimitación geográfica de la intervención de las Fuerzas Armadas, por el contrario, conforme al contenido de la norma que contiene, es posible advertir que ordena la participación de los militares en todo el país; determinación claramente injustificada y desproporcional, si se toma en consideración que no todas las entidades federativas se encuentran en la misma situación de seguridad o inseguridad, según sea el caso.</w:t>
      </w:r>
    </w:p>
    <w:p w14:paraId="0B1234E4" w14:textId="69F44F12" w:rsidR="005A30F7" w:rsidRDefault="005A30F7" w:rsidP="00543111">
      <w:pPr>
        <w:jc w:val="both"/>
        <w:rPr>
          <w:rFonts w:ascii="Arial" w:hAnsi="Arial" w:cs="Arial"/>
          <w:sz w:val="24"/>
        </w:rPr>
      </w:pPr>
      <w:r w:rsidRPr="004530A7">
        <w:rPr>
          <w:rFonts w:ascii="Arial" w:hAnsi="Arial" w:cs="Arial"/>
          <w:sz w:val="24"/>
        </w:rPr>
        <w:t>Así, atendiendo a la región del país en que nos situemos, se podrá observar, con mediana facilidad, que no todos los estados del país viven el mismo grado de inseguridad en las calles, por ello, tomando en cuenta lo que se ha venido exponiendo -sobre la justificación reforzada que debe existir para que el Presidente de la República pueda ordenar a las instituciones castrenses que realicen funciones de seguridad pública-, es que se determina contrario a derecho el Acuerdo reclamado, al no haberse delimitado una zona geográfica para la participación militar.</w:t>
      </w:r>
    </w:p>
    <w:p w14:paraId="500A8A8E" w14:textId="77777777" w:rsidR="004530A7" w:rsidRDefault="004530A7" w:rsidP="004530A7">
      <w:pPr>
        <w:ind w:firstLine="567"/>
        <w:jc w:val="both"/>
        <w:rPr>
          <w:rFonts w:ascii="Arial" w:hAnsi="Arial" w:cs="Arial"/>
          <w:sz w:val="24"/>
          <w:szCs w:val="24"/>
        </w:rPr>
      </w:pPr>
      <w:r w:rsidRPr="005F1C73">
        <w:rPr>
          <w:rFonts w:ascii="Arial" w:hAnsi="Arial" w:cs="Arial"/>
          <w:sz w:val="24"/>
          <w:szCs w:val="24"/>
          <w:shd w:val="clear" w:color="auto" w:fill="FFFFFF"/>
        </w:rPr>
        <w:t xml:space="preserve">Son aplicables a lo anterior, los siguientes criterios del Pleno de la Suprema Corte de Justicia de la </w:t>
      </w:r>
      <w:proofErr w:type="spellStart"/>
      <w:r w:rsidRPr="005F1C73">
        <w:rPr>
          <w:rFonts w:ascii="Arial" w:hAnsi="Arial" w:cs="Arial"/>
          <w:sz w:val="24"/>
          <w:szCs w:val="24"/>
          <w:shd w:val="clear" w:color="auto" w:fill="FFFFFF"/>
        </w:rPr>
        <w:t>Nación,</w:t>
      </w:r>
      <w:r w:rsidRPr="005F1C73">
        <w:rPr>
          <w:rFonts w:ascii="Arial" w:hAnsi="Arial" w:cs="Arial"/>
          <w:sz w:val="24"/>
          <w:szCs w:val="24"/>
        </w:rPr>
        <w:t>al</w:t>
      </w:r>
      <w:proofErr w:type="spellEnd"/>
      <w:r w:rsidRPr="005F1C73">
        <w:rPr>
          <w:rFonts w:ascii="Arial" w:hAnsi="Arial" w:cs="Arial"/>
          <w:sz w:val="24"/>
          <w:szCs w:val="24"/>
        </w:rPr>
        <w:t xml:space="preserve"> resolver la acción de inconstitucionalidad 1/1996, analizó los artículos 16, 29, 89, fracción VI y 129 Constitucionales; proceso constitucional del cual derivaron las jurisprudencias P./J. 38/2000, P./J 37/2000, P./J 36/2000 y P./J 35/20 y también las diversas acciones de inconstitucionalidad acumuladas 6, 8, 9, 10 y 11, todas de 2018; en las cuales analizó la constitucionalidad de la Ley de Seguridad Interior e interpretó los artículos 21, 89 y 129 constitucionales</w:t>
      </w:r>
      <w:r>
        <w:rPr>
          <w:rFonts w:ascii="Arial" w:hAnsi="Arial" w:cs="Arial"/>
          <w:sz w:val="24"/>
          <w:szCs w:val="24"/>
        </w:rPr>
        <w:t>.</w:t>
      </w:r>
    </w:p>
    <w:p w14:paraId="46E4B547" w14:textId="497D2422" w:rsidR="00735493" w:rsidRPr="004530A7" w:rsidRDefault="007057F7" w:rsidP="00543111">
      <w:pPr>
        <w:jc w:val="both"/>
        <w:rPr>
          <w:rFonts w:ascii="Arial" w:hAnsi="Arial" w:cs="Arial"/>
          <w:sz w:val="24"/>
        </w:rPr>
      </w:pPr>
      <w:r w:rsidRPr="004530A7">
        <w:rPr>
          <w:rFonts w:ascii="Arial" w:hAnsi="Arial" w:cs="Arial"/>
          <w:b/>
          <w:sz w:val="24"/>
        </w:rPr>
        <w:t>DÉCIMO PRIMERO.</w:t>
      </w:r>
      <w:r w:rsidR="00DE7837" w:rsidRPr="004530A7">
        <w:rPr>
          <w:rFonts w:ascii="Arial" w:hAnsi="Arial" w:cs="Arial"/>
          <w:sz w:val="24"/>
        </w:rPr>
        <w:t xml:space="preserve"> </w:t>
      </w:r>
      <w:r w:rsidR="004530A7">
        <w:rPr>
          <w:rFonts w:ascii="Arial" w:hAnsi="Arial" w:cs="Arial"/>
          <w:sz w:val="24"/>
        </w:rPr>
        <w:t xml:space="preserve">Las normas generales reclamadas con </w:t>
      </w:r>
      <w:r w:rsidR="00735493" w:rsidRPr="004530A7">
        <w:rPr>
          <w:rFonts w:ascii="Arial" w:hAnsi="Arial" w:cs="Arial"/>
          <w:sz w:val="24"/>
        </w:rPr>
        <w:t>contraria</w:t>
      </w:r>
      <w:r w:rsidR="004530A7">
        <w:rPr>
          <w:rFonts w:ascii="Arial" w:hAnsi="Arial" w:cs="Arial"/>
          <w:sz w:val="24"/>
        </w:rPr>
        <w:t xml:space="preserve">s al quinto transitorio del decreto </w:t>
      </w:r>
      <w:r w:rsidR="004530A7" w:rsidRPr="004530A7">
        <w:rPr>
          <w:rFonts w:ascii="Arial" w:hAnsi="Arial" w:cs="Arial"/>
          <w:sz w:val="24"/>
        </w:rPr>
        <w:t>por el que se reforman, adicionan y derogan diversas disposiciones de la Constitución Política de los Estados Unidos Mexicanos, en materia de Guardia Nacional. Publicado en el Diario Oficial de la Federación el 26 de marzo de 2019</w:t>
      </w:r>
      <w:r w:rsidR="004530A7">
        <w:rPr>
          <w:rFonts w:ascii="Arial" w:hAnsi="Arial" w:cs="Arial"/>
          <w:sz w:val="24"/>
        </w:rPr>
        <w:t xml:space="preserve">, </w:t>
      </w:r>
      <w:r w:rsidR="00735493" w:rsidRPr="004530A7">
        <w:rPr>
          <w:rFonts w:ascii="Arial" w:hAnsi="Arial" w:cs="Arial"/>
          <w:sz w:val="24"/>
        </w:rPr>
        <w:t xml:space="preserve">porque </w:t>
      </w:r>
      <w:r w:rsidR="004530A7">
        <w:rPr>
          <w:rFonts w:ascii="Arial" w:hAnsi="Arial" w:cs="Arial"/>
          <w:sz w:val="24"/>
        </w:rPr>
        <w:t>dicho transitorio no contemplaba</w:t>
      </w:r>
      <w:r w:rsidR="00735493" w:rsidRPr="004530A7">
        <w:rPr>
          <w:rFonts w:ascii="Arial" w:hAnsi="Arial" w:cs="Arial"/>
          <w:sz w:val="24"/>
        </w:rPr>
        <w:t xml:space="preserve"> la fusión de esta dependencia con aquella, sino solo el apoyo en tareas de seguridad pública. </w:t>
      </w:r>
    </w:p>
    <w:p w14:paraId="03784D0C" w14:textId="7F481746" w:rsidR="001958CD" w:rsidRDefault="001958CD" w:rsidP="00543111">
      <w:pPr>
        <w:jc w:val="both"/>
        <w:rPr>
          <w:rFonts w:ascii="Arial" w:hAnsi="Arial" w:cs="Arial"/>
          <w:sz w:val="24"/>
        </w:rPr>
      </w:pPr>
      <w:r w:rsidRPr="004530A7">
        <w:rPr>
          <w:rFonts w:ascii="Arial" w:hAnsi="Arial" w:cs="Arial"/>
          <w:sz w:val="24"/>
        </w:rPr>
        <w:t xml:space="preserve">Repercute en el </w:t>
      </w:r>
      <w:r w:rsidR="00265104" w:rsidRPr="004530A7">
        <w:rPr>
          <w:rFonts w:ascii="Arial" w:hAnsi="Arial" w:cs="Arial"/>
          <w:sz w:val="24"/>
        </w:rPr>
        <w:t xml:space="preserve">cumplimiento del artículo quinto transitorio del decreto de creación de la Guardia Nacional, toda vez que al incorporar a la Guardia Nacional bajo la dirección de la SEDENA no deja clara la participación de las Fuerzas Armadas Permanentes en las tareas de seguridad pública, circunstancia es contraria a </w:t>
      </w:r>
      <w:r w:rsidR="004530A7">
        <w:rPr>
          <w:rFonts w:ascii="Arial" w:hAnsi="Arial" w:cs="Arial"/>
          <w:sz w:val="24"/>
        </w:rPr>
        <w:t>lo extraordinario, fiscalizado, ahora los faculta eternamente para que operen en tareas de seguridad pública, sin respetar la excepcionalidad.</w:t>
      </w:r>
    </w:p>
    <w:p w14:paraId="2131F480" w14:textId="77777777" w:rsidR="004530A7" w:rsidRDefault="004530A7" w:rsidP="004530A7">
      <w:pPr>
        <w:ind w:firstLine="567"/>
        <w:jc w:val="both"/>
        <w:rPr>
          <w:rFonts w:ascii="Arial" w:hAnsi="Arial" w:cs="Arial"/>
          <w:sz w:val="24"/>
          <w:szCs w:val="24"/>
        </w:rPr>
      </w:pPr>
      <w:r w:rsidRPr="005F1C73">
        <w:rPr>
          <w:rFonts w:ascii="Arial" w:hAnsi="Arial" w:cs="Arial"/>
          <w:sz w:val="24"/>
          <w:szCs w:val="24"/>
          <w:shd w:val="clear" w:color="auto" w:fill="FFFFFF"/>
        </w:rPr>
        <w:t xml:space="preserve">Son aplicables a lo anterior, los siguientes criterios del Pleno de la Suprema Corte de Justicia de la </w:t>
      </w:r>
      <w:proofErr w:type="spellStart"/>
      <w:r w:rsidRPr="005F1C73">
        <w:rPr>
          <w:rFonts w:ascii="Arial" w:hAnsi="Arial" w:cs="Arial"/>
          <w:sz w:val="24"/>
          <w:szCs w:val="24"/>
          <w:shd w:val="clear" w:color="auto" w:fill="FFFFFF"/>
        </w:rPr>
        <w:t>Nación,</w:t>
      </w:r>
      <w:r w:rsidRPr="005F1C73">
        <w:rPr>
          <w:rFonts w:ascii="Arial" w:hAnsi="Arial" w:cs="Arial"/>
          <w:sz w:val="24"/>
          <w:szCs w:val="24"/>
        </w:rPr>
        <w:t>al</w:t>
      </w:r>
      <w:proofErr w:type="spellEnd"/>
      <w:r w:rsidRPr="005F1C73">
        <w:rPr>
          <w:rFonts w:ascii="Arial" w:hAnsi="Arial" w:cs="Arial"/>
          <w:sz w:val="24"/>
          <w:szCs w:val="24"/>
        </w:rPr>
        <w:t xml:space="preserve"> resolver la acción de inconstitucionalidad 1/1996, analizó los artículos 16, 29, 89, fracción VI y 129 Constitucionales; proceso constitucional del cual derivaron las jurisprudencias P./J. 38/2000, P./J 37/2000, P./J 36/2000 y P./J 35/20 y también las diversas acciones de inconstitucionalidad acumuladas 6, 8, 9, 10 y 11, todas de 2018; en las cuales analizó la constitucionalidad de la Ley de Seguridad Interior e interpretó los artículos 21, 89 y 129 constitucionales</w:t>
      </w:r>
      <w:r>
        <w:rPr>
          <w:rFonts w:ascii="Arial" w:hAnsi="Arial" w:cs="Arial"/>
          <w:sz w:val="24"/>
          <w:szCs w:val="24"/>
        </w:rPr>
        <w:t>.</w:t>
      </w:r>
    </w:p>
    <w:p w14:paraId="6B467B0F" w14:textId="37D6B4F4" w:rsidR="004530A7" w:rsidRPr="004530A7" w:rsidRDefault="007057F7" w:rsidP="00543111">
      <w:pPr>
        <w:jc w:val="both"/>
        <w:rPr>
          <w:rFonts w:ascii="Arial" w:hAnsi="Arial" w:cs="Arial"/>
          <w:sz w:val="24"/>
          <w:szCs w:val="24"/>
        </w:rPr>
      </w:pPr>
      <w:r w:rsidRPr="004530A7">
        <w:rPr>
          <w:rFonts w:ascii="Arial" w:hAnsi="Arial" w:cs="Arial"/>
          <w:b/>
          <w:sz w:val="24"/>
          <w:szCs w:val="24"/>
        </w:rPr>
        <w:lastRenderedPageBreak/>
        <w:t>DÉCIMO SEGUNDO</w:t>
      </w:r>
      <w:r w:rsidR="00B10837" w:rsidRPr="004530A7">
        <w:rPr>
          <w:rFonts w:ascii="Arial" w:hAnsi="Arial" w:cs="Arial"/>
          <w:sz w:val="24"/>
          <w:szCs w:val="24"/>
        </w:rPr>
        <w:t>.</w:t>
      </w:r>
      <w:r w:rsidR="00DE7837" w:rsidRPr="004530A7">
        <w:rPr>
          <w:rFonts w:ascii="Arial" w:hAnsi="Arial" w:cs="Arial"/>
          <w:sz w:val="24"/>
          <w:szCs w:val="24"/>
        </w:rPr>
        <w:t xml:space="preserve"> </w:t>
      </w:r>
      <w:r w:rsidR="004530A7" w:rsidRPr="004530A7">
        <w:rPr>
          <w:rFonts w:ascii="Arial" w:hAnsi="Arial" w:cs="Arial"/>
          <w:sz w:val="24"/>
          <w:szCs w:val="24"/>
          <w:shd w:val="clear" w:color="auto" w:fill="FFFFFF"/>
        </w:rPr>
        <w:t>Las normas reclamadas son contrarias a los parámetros contemplados en a la interpretación de los artículos 16, 29, 89, fracción VI y 129 de la Constitución Política de los Estados Unidos Mexicanos.</w:t>
      </w:r>
    </w:p>
    <w:p w14:paraId="6D93ADF5" w14:textId="68CC5B2C" w:rsidR="00DE7837" w:rsidRPr="004530A7" w:rsidRDefault="004530A7" w:rsidP="00543111">
      <w:pPr>
        <w:jc w:val="both"/>
        <w:rPr>
          <w:rFonts w:ascii="Arial" w:hAnsi="Arial" w:cs="Arial"/>
          <w:sz w:val="24"/>
          <w:szCs w:val="24"/>
        </w:rPr>
      </w:pPr>
      <w:r w:rsidRPr="004530A7">
        <w:rPr>
          <w:rFonts w:ascii="Arial" w:hAnsi="Arial" w:cs="Arial"/>
          <w:sz w:val="24"/>
          <w:szCs w:val="24"/>
        </w:rPr>
        <w:t>Lo anterior, porque e</w:t>
      </w:r>
      <w:r w:rsidR="00DE7837" w:rsidRPr="004530A7">
        <w:rPr>
          <w:rFonts w:ascii="Arial" w:hAnsi="Arial" w:cs="Arial"/>
          <w:sz w:val="24"/>
          <w:szCs w:val="24"/>
        </w:rPr>
        <w:t>l Presidente de la República está facultado para autorizar a las fuerzas armadas a participar en la seguridad interior del Estado en tiempos de paz mediante la declaratoria referida, siempre y cuando se actualicen circunstancias excepcionales, entendiéndose por ello de manera temporal y restringida. De la lectura del Acuerdo reclamado, el Presidente Constitucional de los Estados Unidos Mexicanos, determinó ordenar la intervención de las Fuerzas Armadas en tareas de seguridad pública, por el simple hecho de que se encuentra en proceso de conformación la Guardia Nacional. Cuestión que obviamente no acredita la actualización de circunstancias excepcionales que justifiquen la intervención del ejército en las tareas de seguridad frente a la sociedad civil.</w:t>
      </w:r>
    </w:p>
    <w:p w14:paraId="39903E65" w14:textId="215DA53D" w:rsidR="00DE7837" w:rsidRPr="004530A7" w:rsidRDefault="00DE7837" w:rsidP="00543111">
      <w:pPr>
        <w:jc w:val="both"/>
        <w:rPr>
          <w:rFonts w:ascii="Arial" w:hAnsi="Arial" w:cs="Arial"/>
          <w:sz w:val="24"/>
          <w:szCs w:val="24"/>
        </w:rPr>
      </w:pPr>
      <w:r w:rsidRPr="004530A7">
        <w:rPr>
          <w:rFonts w:ascii="Arial" w:hAnsi="Arial" w:cs="Arial"/>
          <w:sz w:val="24"/>
          <w:szCs w:val="24"/>
        </w:rPr>
        <w:t>En efecto, una situación de carácter excepcional, para el tópico que nos ocupa -seguridad pública-, es aquella que no puede ser enfrentada por las autoridades civiles y que implica un peligro tal, que en caso de que no participen las instituciones militares se pudiera llegar a una situación de emergencia de las previstas por el artículo 29 constitucional. Lo que no se actualiza por el simple hecho de que una nueva dependencia de seguridad pública civil - Guardia Nacional-, se encuentre en proceso de conformación.</w:t>
      </w:r>
    </w:p>
    <w:p w14:paraId="37D75910" w14:textId="5585887D" w:rsidR="00543111" w:rsidRPr="004530A7" w:rsidRDefault="00543111" w:rsidP="00543111">
      <w:pPr>
        <w:jc w:val="both"/>
        <w:rPr>
          <w:rFonts w:ascii="Arial" w:hAnsi="Arial" w:cs="Arial"/>
          <w:sz w:val="24"/>
          <w:szCs w:val="24"/>
        </w:rPr>
      </w:pPr>
      <w:r w:rsidRPr="004530A7">
        <w:rPr>
          <w:rFonts w:ascii="Arial" w:hAnsi="Arial" w:cs="Arial"/>
          <w:sz w:val="24"/>
          <w:szCs w:val="24"/>
        </w:rPr>
        <w:t>Debe ser en circunstancias excepcionales, razonablemente imposibles de enfrentar por la autoridad civil. En el acuerdo sólo se expone como motivo que está en conformación la Guardia Nacional, lo cual no justifica la excepcionalidad.</w:t>
      </w:r>
      <w:r w:rsidR="00425B86" w:rsidRPr="004530A7">
        <w:rPr>
          <w:rFonts w:ascii="Arial" w:hAnsi="Arial" w:cs="Arial"/>
          <w:sz w:val="24"/>
          <w:szCs w:val="24"/>
        </w:rPr>
        <w:t xml:space="preserve"> Estas normas generales implican un hasta sabe </w:t>
      </w:r>
      <w:proofErr w:type="spellStart"/>
      <w:r w:rsidR="00425B86" w:rsidRPr="004530A7">
        <w:rPr>
          <w:rFonts w:ascii="Arial" w:hAnsi="Arial" w:cs="Arial"/>
          <w:sz w:val="24"/>
          <w:szCs w:val="24"/>
        </w:rPr>
        <w:t>cuando</w:t>
      </w:r>
      <w:proofErr w:type="spellEnd"/>
      <w:r w:rsidR="00425B86" w:rsidRPr="004530A7">
        <w:rPr>
          <w:rFonts w:ascii="Arial" w:hAnsi="Arial" w:cs="Arial"/>
          <w:sz w:val="24"/>
          <w:szCs w:val="24"/>
        </w:rPr>
        <w:t xml:space="preserve">, porque su vigencia no </w:t>
      </w:r>
      <w:proofErr w:type="spellStart"/>
      <w:r w:rsidR="00425B86" w:rsidRPr="004530A7">
        <w:rPr>
          <w:rFonts w:ascii="Arial" w:hAnsi="Arial" w:cs="Arial"/>
          <w:sz w:val="24"/>
          <w:szCs w:val="24"/>
        </w:rPr>
        <w:t>esta</w:t>
      </w:r>
      <w:proofErr w:type="spellEnd"/>
      <w:r w:rsidR="00425B86" w:rsidRPr="004530A7">
        <w:rPr>
          <w:rFonts w:ascii="Arial" w:hAnsi="Arial" w:cs="Arial"/>
          <w:sz w:val="24"/>
          <w:szCs w:val="24"/>
        </w:rPr>
        <w:t xml:space="preserve"> limitada a un plazo sino por siempre hasta que mediante el procedimiento legislativo la derogue, o hasta que un medio de control constitucional lo decl</w:t>
      </w:r>
      <w:r w:rsidR="009417CF" w:rsidRPr="004530A7">
        <w:rPr>
          <w:rFonts w:ascii="Arial" w:hAnsi="Arial" w:cs="Arial"/>
          <w:sz w:val="24"/>
          <w:szCs w:val="24"/>
        </w:rPr>
        <w:t>are invalido o inconstitucional para que no sea aplicado. ¿</w:t>
      </w:r>
      <w:proofErr w:type="gramStart"/>
      <w:r w:rsidR="009417CF" w:rsidRPr="004530A7">
        <w:rPr>
          <w:rFonts w:ascii="Arial" w:hAnsi="Arial" w:cs="Arial"/>
          <w:sz w:val="24"/>
          <w:szCs w:val="24"/>
        </w:rPr>
        <w:t>hasta</w:t>
      </w:r>
      <w:proofErr w:type="gramEnd"/>
      <w:r w:rsidR="009417CF" w:rsidRPr="004530A7">
        <w:rPr>
          <w:rFonts w:ascii="Arial" w:hAnsi="Arial" w:cs="Arial"/>
          <w:sz w:val="24"/>
          <w:szCs w:val="24"/>
        </w:rPr>
        <w:t xml:space="preserve"> que funcione, a plenitud, la Guardia Nacional?</w:t>
      </w:r>
      <w:r w:rsidR="00425B86" w:rsidRPr="004530A7">
        <w:rPr>
          <w:rFonts w:ascii="Arial" w:hAnsi="Arial" w:cs="Arial"/>
          <w:sz w:val="24"/>
          <w:szCs w:val="24"/>
        </w:rPr>
        <w:t xml:space="preserve"> </w:t>
      </w:r>
    </w:p>
    <w:p w14:paraId="643F5E5F" w14:textId="45105383" w:rsidR="00D4006A" w:rsidRPr="004530A7" w:rsidRDefault="00D4006A" w:rsidP="00543111">
      <w:pPr>
        <w:jc w:val="both"/>
        <w:rPr>
          <w:rFonts w:ascii="Arial" w:hAnsi="Arial" w:cs="Arial"/>
          <w:sz w:val="24"/>
          <w:szCs w:val="24"/>
        </w:rPr>
      </w:pPr>
      <w:r w:rsidRPr="004530A7">
        <w:rPr>
          <w:rFonts w:ascii="Arial" w:hAnsi="Arial" w:cs="Arial"/>
          <w:sz w:val="24"/>
          <w:szCs w:val="24"/>
        </w:rPr>
        <w:t>Lo anterior, al tomar en cuenta que el plazo de cinco años debe considerarse como uno “temporal” -en el estricto sentido de la palabra, pues dicho término no puede ser entendido como indefinido, ni para siempre-; siendo así que en el caso se estima que tal plazo es excesivo para que las Fuerzas Armadas, en tiempos de paz, se encuentren en las calles llevando a cabo tareas de seguridad pública que atañen solo a las autoridades civiles.</w:t>
      </w:r>
    </w:p>
    <w:p w14:paraId="04BA276C" w14:textId="20CA7B2F" w:rsidR="00D4006A" w:rsidRPr="004530A7" w:rsidRDefault="00D4006A" w:rsidP="00543111">
      <w:pPr>
        <w:jc w:val="both"/>
        <w:rPr>
          <w:rFonts w:ascii="Arial" w:hAnsi="Arial" w:cs="Arial"/>
          <w:sz w:val="24"/>
          <w:szCs w:val="24"/>
        </w:rPr>
      </w:pPr>
      <w:r w:rsidRPr="004530A7">
        <w:rPr>
          <w:rFonts w:ascii="Arial" w:hAnsi="Arial" w:cs="Arial"/>
          <w:sz w:val="24"/>
          <w:szCs w:val="24"/>
        </w:rPr>
        <w:t>En efecto, dentro de la categoría de lo excepcional, no pueden considerarse supuestos derivados de la forma, resultado y eficiencia de la administración burocrática de las instituciones civiles de policía que llevan a cabo la función de seguridad pública. De ahí que tampoco se advierte una situación de carácter excepcional y, por ende, no se cumple con el requisito de temporalidad al ordenar que las Fuerzas Armadas lleven a cabo tareas de seguridad pública por el término de cinco años, por la sencilla razón de que se está conformando una nueva dependencia en materia de seguridad pública.</w:t>
      </w:r>
    </w:p>
    <w:p w14:paraId="25B38491" w14:textId="635C9107" w:rsidR="005D44F8" w:rsidRDefault="005D44F8" w:rsidP="005D44F8">
      <w:pPr>
        <w:jc w:val="both"/>
        <w:rPr>
          <w:rFonts w:ascii="Arial" w:hAnsi="Arial" w:cs="Arial"/>
          <w:sz w:val="24"/>
          <w:szCs w:val="24"/>
        </w:rPr>
      </w:pPr>
      <w:r w:rsidRPr="004530A7">
        <w:rPr>
          <w:rFonts w:ascii="Arial" w:hAnsi="Arial" w:cs="Arial"/>
          <w:sz w:val="24"/>
          <w:szCs w:val="24"/>
        </w:rPr>
        <w:t xml:space="preserve">Ante lo expuesto a lo largo de esta determinación, se concluye que el </w:t>
      </w:r>
      <w:r w:rsidR="004530A7" w:rsidRPr="004530A7">
        <w:rPr>
          <w:rFonts w:ascii="Arial" w:hAnsi="Arial" w:cs="Arial"/>
          <w:sz w:val="24"/>
          <w:szCs w:val="24"/>
        </w:rPr>
        <w:t>decreto</w:t>
      </w:r>
      <w:r w:rsidRPr="004530A7">
        <w:rPr>
          <w:rFonts w:ascii="Arial" w:hAnsi="Arial" w:cs="Arial"/>
          <w:sz w:val="24"/>
          <w:szCs w:val="24"/>
        </w:rPr>
        <w:t xml:space="preserve"> reclamado es inconstitucional, puesto que en el mismo se incorporó a las Fuerzas Armadas dentro del sistema ordinario y permanente de seguridad interior en tiempos de paz, sin respetar las condiciones constitucionales de validez que sobre la actuación de las fuerzas armadas en tiempos de paz ha establecido la jurisprudencia de la Suprema Corte de Justicia de la Nación, derivadas de la interpretación de los artículos 29, 89 fracción VI, y 129, en relación con los diversos 14 y 16 de la Constitución Federal.</w:t>
      </w:r>
    </w:p>
    <w:p w14:paraId="3035E639" w14:textId="77777777" w:rsidR="004530A7" w:rsidRDefault="004530A7" w:rsidP="004530A7">
      <w:pPr>
        <w:ind w:firstLine="567"/>
        <w:jc w:val="both"/>
        <w:rPr>
          <w:rFonts w:ascii="Arial" w:hAnsi="Arial" w:cs="Arial"/>
          <w:sz w:val="24"/>
          <w:szCs w:val="24"/>
        </w:rPr>
      </w:pPr>
      <w:r w:rsidRPr="005F1C73">
        <w:rPr>
          <w:rFonts w:ascii="Arial" w:hAnsi="Arial" w:cs="Arial"/>
          <w:sz w:val="24"/>
          <w:szCs w:val="24"/>
          <w:shd w:val="clear" w:color="auto" w:fill="FFFFFF"/>
        </w:rPr>
        <w:t xml:space="preserve">Son aplicables a lo anterior, los siguientes criterios del Pleno de la Suprema Corte de Justicia de la </w:t>
      </w:r>
      <w:proofErr w:type="spellStart"/>
      <w:r w:rsidRPr="005F1C73">
        <w:rPr>
          <w:rFonts w:ascii="Arial" w:hAnsi="Arial" w:cs="Arial"/>
          <w:sz w:val="24"/>
          <w:szCs w:val="24"/>
          <w:shd w:val="clear" w:color="auto" w:fill="FFFFFF"/>
        </w:rPr>
        <w:t>Nación,</w:t>
      </w:r>
      <w:r w:rsidRPr="005F1C73">
        <w:rPr>
          <w:rFonts w:ascii="Arial" w:hAnsi="Arial" w:cs="Arial"/>
          <w:sz w:val="24"/>
          <w:szCs w:val="24"/>
        </w:rPr>
        <w:t>al</w:t>
      </w:r>
      <w:proofErr w:type="spellEnd"/>
      <w:r w:rsidRPr="005F1C73">
        <w:rPr>
          <w:rFonts w:ascii="Arial" w:hAnsi="Arial" w:cs="Arial"/>
          <w:sz w:val="24"/>
          <w:szCs w:val="24"/>
        </w:rPr>
        <w:t xml:space="preserve"> resolver la acción de inconstitucionalidad 1/1996, analizó los artículos 16, 29, 89, fracción VI y 129 Constitucionales; proceso constitucional del cual derivaron las jurisprudencias P./J. 38/2000, P./J 37/2000, P./J 36/2000 y P./J 35/20 y también las diversas acciones de inconstitucionalidad acumuladas 6, 8, 9, 10 y 11, </w:t>
      </w:r>
      <w:r w:rsidRPr="005F1C73">
        <w:rPr>
          <w:rFonts w:ascii="Arial" w:hAnsi="Arial" w:cs="Arial"/>
          <w:sz w:val="24"/>
          <w:szCs w:val="24"/>
        </w:rPr>
        <w:lastRenderedPageBreak/>
        <w:t>todas de 2018; en las cuales analizó la constitucionalidad de la Ley de Seguridad Interior e interpretó los artículos 21, 89 y 129 constitucionales</w:t>
      </w:r>
      <w:r>
        <w:rPr>
          <w:rFonts w:ascii="Arial" w:hAnsi="Arial" w:cs="Arial"/>
          <w:sz w:val="24"/>
          <w:szCs w:val="24"/>
        </w:rPr>
        <w:t>.</w:t>
      </w:r>
    </w:p>
    <w:p w14:paraId="14B565D4" w14:textId="77777777" w:rsidR="008455B9" w:rsidRPr="004530A7" w:rsidRDefault="007057F7" w:rsidP="008455B9">
      <w:pPr>
        <w:jc w:val="both"/>
        <w:rPr>
          <w:rFonts w:ascii="Arial" w:hAnsi="Arial" w:cs="Arial"/>
          <w:sz w:val="24"/>
          <w:szCs w:val="24"/>
        </w:rPr>
      </w:pPr>
      <w:r w:rsidRPr="008455B9">
        <w:rPr>
          <w:rFonts w:ascii="Arial" w:hAnsi="Arial" w:cs="Arial"/>
          <w:b/>
          <w:sz w:val="24"/>
        </w:rPr>
        <w:t>DÉCIMO TERCERO.</w:t>
      </w:r>
      <w:r w:rsidRPr="008455B9">
        <w:rPr>
          <w:rFonts w:ascii="Arial" w:hAnsi="Arial" w:cs="Arial"/>
          <w:sz w:val="24"/>
        </w:rPr>
        <w:t xml:space="preserve"> </w:t>
      </w:r>
      <w:r w:rsidR="008455B9" w:rsidRPr="004530A7">
        <w:rPr>
          <w:rFonts w:ascii="Arial" w:hAnsi="Arial" w:cs="Arial"/>
          <w:sz w:val="24"/>
          <w:szCs w:val="24"/>
          <w:shd w:val="clear" w:color="auto" w:fill="FFFFFF"/>
        </w:rPr>
        <w:t>Las normas reclamadas son contrarias a los parámetros contemplados en a la interpretación de los artículos 16, 29, 89, fracción VI y 129 de la Constitución Política de los Estados Unidos Mexicanos.</w:t>
      </w:r>
    </w:p>
    <w:p w14:paraId="6FE030B4" w14:textId="40EFE47E" w:rsidR="00543111" w:rsidRPr="008455B9" w:rsidRDefault="008455B9" w:rsidP="00543111">
      <w:pPr>
        <w:jc w:val="both"/>
        <w:rPr>
          <w:rFonts w:ascii="Arial" w:hAnsi="Arial" w:cs="Arial"/>
          <w:sz w:val="24"/>
        </w:rPr>
      </w:pPr>
      <w:r>
        <w:rPr>
          <w:rFonts w:ascii="Arial" w:hAnsi="Arial" w:cs="Arial"/>
          <w:sz w:val="24"/>
        </w:rPr>
        <w:t>Lo anterior porque no consideran a la Guardia Nacional y a las Fuerzas Armadas Permane</w:t>
      </w:r>
      <w:r w:rsidR="00B400BD">
        <w:rPr>
          <w:rFonts w:ascii="Arial" w:hAnsi="Arial" w:cs="Arial"/>
          <w:sz w:val="24"/>
        </w:rPr>
        <w:t>n</w:t>
      </w:r>
      <w:r>
        <w:rPr>
          <w:rFonts w:ascii="Arial" w:hAnsi="Arial" w:cs="Arial"/>
          <w:sz w:val="24"/>
        </w:rPr>
        <w:t>tes s</w:t>
      </w:r>
      <w:r w:rsidR="00543111" w:rsidRPr="008455B9">
        <w:rPr>
          <w:rFonts w:ascii="Arial" w:hAnsi="Arial" w:cs="Arial"/>
          <w:sz w:val="24"/>
        </w:rPr>
        <w:t>ubordinada a la autoridad civil, es decir, las fuerzas armadas no deben ser autoridades ordenadoras, sino ejecutoras. El acuerdo sólo dice que las fuerzas armadas se coordinen, lo cual no implica subordinación.</w:t>
      </w:r>
    </w:p>
    <w:p w14:paraId="5C8A58B4" w14:textId="3D7E2CBA" w:rsidR="005A30F7" w:rsidRPr="008455B9" w:rsidRDefault="005A30F7" w:rsidP="00543111">
      <w:pPr>
        <w:jc w:val="both"/>
        <w:rPr>
          <w:rFonts w:ascii="Arial" w:hAnsi="Arial" w:cs="Arial"/>
          <w:sz w:val="24"/>
        </w:rPr>
      </w:pPr>
      <w:r w:rsidRPr="008455B9">
        <w:rPr>
          <w:rFonts w:ascii="Arial" w:hAnsi="Arial" w:cs="Arial"/>
          <w:sz w:val="24"/>
        </w:rPr>
        <w:t>En el Acuerdo reclamado se inobservó estos principios, puesto que lejos de establece</w:t>
      </w:r>
      <w:r w:rsidR="00B400BD">
        <w:rPr>
          <w:rFonts w:ascii="Arial" w:hAnsi="Arial" w:cs="Arial"/>
          <w:sz w:val="24"/>
        </w:rPr>
        <w:t xml:space="preserve">r la subordinación total de la Guardia Nacional y de las </w:t>
      </w:r>
      <w:r w:rsidRPr="008455B9">
        <w:rPr>
          <w:rFonts w:ascii="Arial" w:hAnsi="Arial" w:cs="Arial"/>
          <w:sz w:val="24"/>
        </w:rPr>
        <w:t>Fuerzas Armadas a las autoridades civiles cuando lleven a cabo tareas de seguridad pública -en las que únicamente pueden actuar como autoridades de carácter ejecutor-, se ordenó al Secretario de Seguridad y Protección Ciudadana que se coordine con los Secretarios de la Defensa Nacional y de Marina, lo que de ninguna manera implica subordinación.</w:t>
      </w:r>
    </w:p>
    <w:p w14:paraId="468FDCD4" w14:textId="7B3A8E03" w:rsidR="005A30F7" w:rsidRPr="008455B9" w:rsidRDefault="005A30F7" w:rsidP="00543111">
      <w:pPr>
        <w:jc w:val="both"/>
        <w:rPr>
          <w:rFonts w:ascii="Arial" w:hAnsi="Arial" w:cs="Arial"/>
          <w:sz w:val="24"/>
        </w:rPr>
      </w:pPr>
      <w:r w:rsidRPr="008455B9">
        <w:rPr>
          <w:rFonts w:ascii="Arial" w:hAnsi="Arial" w:cs="Arial"/>
          <w:sz w:val="24"/>
        </w:rPr>
        <w:t>Es así, porque la coordinación implica un plano de igualdad entre autoridades de un mismo orden jerárquico que llevan a cabo acciones de forma conjunta, para la consecución de un fin que tienen legalmente encomendado.</w:t>
      </w:r>
    </w:p>
    <w:p w14:paraId="106705D9" w14:textId="2E4AB49A" w:rsidR="005A30F7" w:rsidRPr="008455B9" w:rsidRDefault="005A30F7" w:rsidP="00543111">
      <w:pPr>
        <w:jc w:val="both"/>
        <w:rPr>
          <w:rFonts w:ascii="Arial" w:hAnsi="Arial" w:cs="Arial"/>
          <w:sz w:val="24"/>
        </w:rPr>
      </w:pPr>
      <w:r w:rsidRPr="008455B9">
        <w:rPr>
          <w:rFonts w:ascii="Arial" w:hAnsi="Arial" w:cs="Arial"/>
          <w:sz w:val="24"/>
        </w:rPr>
        <w:t>Así pues, es evidente que la participación de las Fuerzas Armadas en la seguridad pública que se determinó en el Acuerdo reclamado, no es subordinada ni complementaria, dado que no se estableció, de manera puntual y expresa, la subordinación de las autoridades castrenses a las civiles; sino que más bien, se reitera, se les ordenó coordinación en funciones que, al parecer, llevarán a cabo de manera conjunta; siendo que las Fuerzas Armadas únicamente pueden actuar como auxiliares de dicha función pública.</w:t>
      </w:r>
    </w:p>
    <w:p w14:paraId="128786E1" w14:textId="4A630240" w:rsidR="00543111" w:rsidRPr="008455B9" w:rsidRDefault="00543111" w:rsidP="00543111">
      <w:pPr>
        <w:jc w:val="both"/>
        <w:rPr>
          <w:rFonts w:ascii="Arial" w:hAnsi="Arial" w:cs="Arial"/>
          <w:sz w:val="24"/>
        </w:rPr>
      </w:pPr>
      <w:r w:rsidRPr="008455B9">
        <w:rPr>
          <w:rFonts w:ascii="Arial" w:hAnsi="Arial" w:cs="Arial"/>
          <w:sz w:val="24"/>
        </w:rPr>
        <w:t xml:space="preserve">Debe estar regulada mediante mecanismos legales y protocolos sobre el uso de la fuerza, lo que no cumple el acuerdo, puesto que no hace mención </w:t>
      </w:r>
      <w:proofErr w:type="gramStart"/>
      <w:r w:rsidRPr="008455B9">
        <w:rPr>
          <w:rFonts w:ascii="Arial" w:hAnsi="Arial" w:cs="Arial"/>
          <w:sz w:val="24"/>
        </w:rPr>
        <w:t>alguna</w:t>
      </w:r>
      <w:proofErr w:type="gramEnd"/>
      <w:r w:rsidRPr="008455B9">
        <w:rPr>
          <w:rFonts w:ascii="Arial" w:hAnsi="Arial" w:cs="Arial"/>
          <w:sz w:val="24"/>
        </w:rPr>
        <w:t xml:space="preserve"> sobre dicho tópico.</w:t>
      </w:r>
      <w:r w:rsidR="001958CD" w:rsidRPr="008455B9">
        <w:rPr>
          <w:rFonts w:ascii="Arial" w:hAnsi="Arial" w:cs="Arial"/>
          <w:sz w:val="24"/>
        </w:rPr>
        <w:t xml:space="preserve"> Para el debido control de las actuaciones que lleven a cabo en materia de seguridad pública; omisión que causa un estado de inseguridad jurídica.</w:t>
      </w:r>
    </w:p>
    <w:p w14:paraId="3ED3F37B" w14:textId="77777777" w:rsidR="00D44026" w:rsidRPr="008455B9" w:rsidRDefault="00D44026" w:rsidP="00543111">
      <w:pPr>
        <w:jc w:val="both"/>
        <w:rPr>
          <w:rFonts w:ascii="Arial" w:hAnsi="Arial" w:cs="Arial"/>
          <w:sz w:val="24"/>
        </w:rPr>
      </w:pPr>
      <w:r w:rsidRPr="008455B9">
        <w:rPr>
          <w:rFonts w:ascii="Arial" w:hAnsi="Arial" w:cs="Arial"/>
          <w:sz w:val="24"/>
        </w:rPr>
        <w:t xml:space="preserve">Asimismo, por lo que hace al requisito señalado en el inciso d), en el Acuerdo reclamado no se establece una debida fiscalización de las actuaciones que las autoridades militares lleven a cabo en funciones de seguridad pública, </w:t>
      </w:r>
    </w:p>
    <w:p w14:paraId="35300268" w14:textId="2C86A141" w:rsidR="00D44026" w:rsidRPr="008455B9" w:rsidRDefault="00D44026" w:rsidP="00543111">
      <w:pPr>
        <w:jc w:val="both"/>
        <w:rPr>
          <w:rFonts w:ascii="Arial" w:hAnsi="Arial" w:cs="Arial"/>
          <w:sz w:val="24"/>
        </w:rPr>
      </w:pPr>
      <w:r w:rsidRPr="008455B9">
        <w:rPr>
          <w:rFonts w:ascii="Arial" w:hAnsi="Arial" w:cs="Arial"/>
          <w:sz w:val="24"/>
        </w:rPr>
        <w:t>No obstante, no se puede establecer, con claridad, a qué autoridades se someterán las autoridades castrenses para el debido control de las actuaciones que lleven a cabo</w:t>
      </w:r>
      <w:r w:rsidR="00B400BD">
        <w:rPr>
          <w:rFonts w:ascii="Arial" w:hAnsi="Arial" w:cs="Arial"/>
          <w:sz w:val="24"/>
        </w:rPr>
        <w:t xml:space="preserve"> </w:t>
      </w:r>
      <w:r w:rsidRPr="008455B9">
        <w:rPr>
          <w:rFonts w:ascii="Arial" w:hAnsi="Arial" w:cs="Arial"/>
          <w:sz w:val="24"/>
        </w:rPr>
        <w:t>en materia de seguridad pública; omisión que causa un estado de inseguridad jurídica en perjuicio del derecho fundamental derivado del artículo 16 Constitucional.</w:t>
      </w:r>
    </w:p>
    <w:p w14:paraId="5DC4D7B2" w14:textId="77777777" w:rsidR="004530A7" w:rsidRDefault="004530A7" w:rsidP="004530A7">
      <w:pPr>
        <w:ind w:firstLine="567"/>
        <w:jc w:val="both"/>
        <w:rPr>
          <w:rFonts w:ascii="Arial" w:hAnsi="Arial" w:cs="Arial"/>
          <w:sz w:val="24"/>
          <w:szCs w:val="24"/>
        </w:rPr>
      </w:pPr>
      <w:r w:rsidRPr="005F1C73">
        <w:rPr>
          <w:rFonts w:ascii="Arial" w:hAnsi="Arial" w:cs="Arial"/>
          <w:sz w:val="24"/>
          <w:szCs w:val="24"/>
          <w:shd w:val="clear" w:color="auto" w:fill="FFFFFF"/>
        </w:rPr>
        <w:t xml:space="preserve">Son aplicables a lo anterior, los siguientes criterios del Pleno de la Suprema Corte de Justicia de la </w:t>
      </w:r>
      <w:proofErr w:type="spellStart"/>
      <w:r w:rsidRPr="005F1C73">
        <w:rPr>
          <w:rFonts w:ascii="Arial" w:hAnsi="Arial" w:cs="Arial"/>
          <w:sz w:val="24"/>
          <w:szCs w:val="24"/>
          <w:shd w:val="clear" w:color="auto" w:fill="FFFFFF"/>
        </w:rPr>
        <w:t>Nación,</w:t>
      </w:r>
      <w:r w:rsidRPr="005F1C73">
        <w:rPr>
          <w:rFonts w:ascii="Arial" w:hAnsi="Arial" w:cs="Arial"/>
          <w:sz w:val="24"/>
          <w:szCs w:val="24"/>
        </w:rPr>
        <w:t>al</w:t>
      </w:r>
      <w:proofErr w:type="spellEnd"/>
      <w:r w:rsidRPr="005F1C73">
        <w:rPr>
          <w:rFonts w:ascii="Arial" w:hAnsi="Arial" w:cs="Arial"/>
          <w:sz w:val="24"/>
          <w:szCs w:val="24"/>
        </w:rPr>
        <w:t xml:space="preserve"> resolver la acción de inconstitucionalidad 1/1996, analizó los artículos 16, 29, 89, fracción VI y 129 Constitucionales; proceso constitucional del cual derivaron las jurisprudencias P./J. 38/2000, P./J 37/2000, P./J 36/2000 y P./J 35/20 y también las diversas acciones de inconstitucionalidad acumuladas 6, 8, 9, 10 y 11, todas de 2018; en las cuales analizó la constitucionalidad de la Ley de Seguridad Interior e interpretó los artículos 21, 89 y 129 constitucionales</w:t>
      </w:r>
      <w:r>
        <w:rPr>
          <w:rFonts w:ascii="Arial" w:hAnsi="Arial" w:cs="Arial"/>
          <w:sz w:val="24"/>
          <w:szCs w:val="24"/>
        </w:rPr>
        <w:t>.</w:t>
      </w:r>
    </w:p>
    <w:p w14:paraId="1A874436" w14:textId="760F19BF" w:rsidR="00E82B3F" w:rsidRDefault="007057F7" w:rsidP="00F53D61">
      <w:pPr>
        <w:spacing w:before="240"/>
        <w:ind w:right="49"/>
        <w:jc w:val="both"/>
        <w:rPr>
          <w:rFonts w:ascii="Arial" w:hAnsi="Arial" w:cs="Arial"/>
          <w:sz w:val="24"/>
          <w:szCs w:val="24"/>
          <w:shd w:val="clear" w:color="auto" w:fill="FFFFFF"/>
        </w:rPr>
      </w:pPr>
      <w:r>
        <w:rPr>
          <w:rFonts w:ascii="Arial" w:hAnsi="Arial" w:cs="Arial"/>
          <w:b/>
          <w:sz w:val="24"/>
          <w:szCs w:val="24"/>
          <w:shd w:val="clear" w:color="auto" w:fill="FFFFFF"/>
        </w:rPr>
        <w:t>DÉCIMO CUARTO</w:t>
      </w:r>
      <w:r w:rsidR="00F53D61" w:rsidRPr="00F53D61">
        <w:rPr>
          <w:rFonts w:ascii="Arial" w:hAnsi="Arial" w:cs="Arial"/>
          <w:b/>
          <w:sz w:val="24"/>
          <w:szCs w:val="24"/>
          <w:shd w:val="clear" w:color="auto" w:fill="FFFFFF"/>
        </w:rPr>
        <w:t>.</w:t>
      </w:r>
      <w:r w:rsidR="00F53D61">
        <w:rPr>
          <w:rFonts w:ascii="Arial" w:hAnsi="Arial" w:cs="Arial"/>
          <w:sz w:val="24"/>
          <w:szCs w:val="24"/>
          <w:shd w:val="clear" w:color="auto" w:fill="FFFFFF"/>
        </w:rPr>
        <w:t xml:space="preserve"> </w:t>
      </w:r>
      <w:r w:rsidR="00E82B3F">
        <w:rPr>
          <w:rFonts w:ascii="Arial" w:hAnsi="Arial" w:cs="Arial"/>
          <w:sz w:val="24"/>
          <w:szCs w:val="24"/>
          <w:shd w:val="clear" w:color="auto" w:fill="FFFFFF"/>
        </w:rPr>
        <w:t xml:space="preserve">De conformidad con los artículos 1 y 133 de la Constitución Federal, todas las personas gozarán de los derechos humanos reconocidos en la Constitución Política de los Estados Unidos Mexicanos y en los tratados internacionales de los que el Estado Mexicano sea parte. En ese tenor el Estado Mexicano a través de sus autoridades en el ámbito de sus competencias, tienen la obligación de promover, respetar, proteger y garantizar los derechos humanos de conformidad con los principios de universalidad, interdependencia, indivisibilidad y progresividad. En consecuencia, el </w:t>
      </w:r>
      <w:r w:rsidR="00E82B3F">
        <w:rPr>
          <w:rFonts w:ascii="Arial" w:hAnsi="Arial" w:cs="Arial"/>
          <w:sz w:val="24"/>
          <w:szCs w:val="24"/>
          <w:shd w:val="clear" w:color="auto" w:fill="FFFFFF"/>
        </w:rPr>
        <w:lastRenderedPageBreak/>
        <w:t>Estado deberá prevenir, investigar, sancionar y reparar las violaciones a los derechos humanos. Además, los tratados que estén de acuerdo con la misma por parte del Estado Mexicano serán también la Ley Suprema de toda la Unión, conforme a los cuales se arreglaran los jueces de cada entidad federativa.</w:t>
      </w:r>
    </w:p>
    <w:p w14:paraId="762B41C0" w14:textId="77777777" w:rsidR="00E82B3F" w:rsidRPr="00CF0650" w:rsidRDefault="00E82B3F" w:rsidP="00E82B3F">
      <w:pPr>
        <w:pStyle w:val="Prrafodelista"/>
        <w:ind w:left="0"/>
        <w:jc w:val="both"/>
        <w:rPr>
          <w:rFonts w:ascii="Arial" w:hAnsi="Arial" w:cs="Arial"/>
          <w:sz w:val="24"/>
          <w:szCs w:val="24"/>
          <w:shd w:val="clear" w:color="auto" w:fill="FFFFFF"/>
        </w:rPr>
      </w:pPr>
      <w:r>
        <w:rPr>
          <w:rFonts w:ascii="Arial" w:hAnsi="Arial" w:cs="Arial"/>
          <w:sz w:val="24"/>
          <w:szCs w:val="24"/>
          <w:shd w:val="clear" w:color="auto" w:fill="FFFFFF"/>
        </w:rPr>
        <w:tab/>
        <w:t xml:space="preserve">Asimismo, a la luz del expediente </w:t>
      </w:r>
      <w:r w:rsidRPr="005905D4">
        <w:rPr>
          <w:rFonts w:ascii="Arial" w:hAnsi="Arial" w:cs="Arial"/>
          <w:i/>
          <w:iCs/>
          <w:sz w:val="24"/>
          <w:szCs w:val="24"/>
          <w:shd w:val="clear" w:color="auto" w:fill="FFFFFF"/>
        </w:rPr>
        <w:t>varios 912/2010</w:t>
      </w:r>
      <w:r>
        <w:rPr>
          <w:rStyle w:val="Refdenotaalpie"/>
          <w:rFonts w:ascii="Arial" w:hAnsi="Arial" w:cs="Arial"/>
          <w:i/>
          <w:iCs/>
          <w:sz w:val="24"/>
          <w:szCs w:val="24"/>
          <w:shd w:val="clear" w:color="auto" w:fill="FFFFFF"/>
        </w:rPr>
        <w:footnoteReference w:id="55"/>
      </w:r>
      <w:r>
        <w:rPr>
          <w:rFonts w:ascii="Arial" w:hAnsi="Arial" w:cs="Arial"/>
          <w:sz w:val="24"/>
          <w:szCs w:val="24"/>
          <w:shd w:val="clear" w:color="auto" w:fill="FFFFFF"/>
        </w:rPr>
        <w:t xml:space="preserve"> emitido por la Suprema Corte de Justicia de la Nación</w:t>
      </w:r>
      <w:r w:rsidRPr="00CF0650">
        <w:rPr>
          <w:rFonts w:ascii="Arial" w:hAnsi="Arial" w:cs="Arial"/>
          <w:sz w:val="24"/>
          <w:szCs w:val="24"/>
          <w:shd w:val="clear" w:color="auto" w:fill="FFFFFF"/>
        </w:rPr>
        <w:t xml:space="preserve">, </w:t>
      </w:r>
      <w:r w:rsidRPr="00CF0650">
        <w:rPr>
          <w:rFonts w:ascii="Arial" w:hAnsi="Arial" w:cs="Arial"/>
          <w:sz w:val="24"/>
          <w:szCs w:val="24"/>
        </w:rPr>
        <w:t>se determinó que frente a las sentencias condenatorias de la Corte Interamericana de Derechos Humanos, la Suprema Corte de Justicia no puede revisar si se configura alguna de las excepciones del Estado Mexicano al reconocimiento de la jurisdicción contenciosa de aquella, o alguna de las reservas o declaraciones interpretativas que formuló al adherirse a la Corte Interamericana de Derechos Humanos, así como a la Convención Interamericana sobre Desaparición Forzada de Personas</w:t>
      </w:r>
      <w:r>
        <w:rPr>
          <w:rFonts w:ascii="Arial" w:hAnsi="Arial" w:cs="Arial"/>
          <w:sz w:val="24"/>
          <w:szCs w:val="24"/>
        </w:rPr>
        <w:t>. En ese orden de ideas, las sentencias de la Corte Interamericana de Derechos Humanos son vinculantes cuando el Estado Mexicano fue parte en el litigio. Es aplicable a lo anterior la siguiente tesis y la jurisprudencia del Pleno de la Suprema Corte de Justicia de la Nación:</w:t>
      </w:r>
    </w:p>
    <w:p w14:paraId="748648E0" w14:textId="77777777" w:rsidR="00E82B3F" w:rsidRPr="006D2780" w:rsidRDefault="00E82B3F" w:rsidP="00E82B3F">
      <w:pPr>
        <w:pStyle w:val="Prrafodelista"/>
        <w:rPr>
          <w:rFonts w:ascii="Arial" w:hAnsi="Arial" w:cs="Arial"/>
          <w:sz w:val="24"/>
          <w:szCs w:val="24"/>
          <w:shd w:val="clear" w:color="auto" w:fill="FFFFFF"/>
        </w:rPr>
      </w:pPr>
    </w:p>
    <w:p w14:paraId="5EA6A964" w14:textId="77777777" w:rsidR="00E82B3F" w:rsidRDefault="00E82B3F" w:rsidP="00E82B3F">
      <w:pPr>
        <w:pStyle w:val="Prrafodelista"/>
        <w:ind w:left="567" w:right="284"/>
        <w:jc w:val="both"/>
        <w:rPr>
          <w:rFonts w:ascii="Arial" w:hAnsi="Arial" w:cs="Arial"/>
          <w:i/>
          <w:iCs/>
          <w:shd w:val="clear" w:color="auto" w:fill="FFFFFF"/>
        </w:rPr>
      </w:pPr>
      <w:r>
        <w:rPr>
          <w:rFonts w:ascii="Arial" w:hAnsi="Arial" w:cs="Arial"/>
          <w:i/>
          <w:iCs/>
          <w:shd w:val="clear" w:color="auto" w:fill="FFFFFF"/>
        </w:rPr>
        <w:t>“</w:t>
      </w:r>
      <w:r w:rsidRPr="00DF223B">
        <w:rPr>
          <w:rFonts w:ascii="Arial" w:hAnsi="Arial" w:cs="Arial"/>
          <w:b/>
          <w:bCs/>
          <w:i/>
          <w:iCs/>
          <w:shd w:val="clear" w:color="auto" w:fill="FFFFFF"/>
        </w:rPr>
        <w:t>SENTENCIAS EMITIDAS POR LA CORTE INTERAMERICANA DE DERECHOS HUMANOS. SON VINCULANTES EN SUS TÉRMINOS CUANDO EL ESTADO MEXICANO FUE PARTE EN EL LITIGIO</w:t>
      </w:r>
      <w:r w:rsidRPr="00DF223B">
        <w:rPr>
          <w:rFonts w:ascii="Arial" w:hAnsi="Arial" w:cs="Arial"/>
          <w:i/>
          <w:iCs/>
          <w:shd w:val="clear" w:color="auto" w:fill="FFFFFF"/>
        </w:rPr>
        <w:t>”</w:t>
      </w:r>
      <w:r>
        <w:rPr>
          <w:rStyle w:val="Refdenotaalpie"/>
          <w:rFonts w:ascii="Arial" w:hAnsi="Arial" w:cs="Arial"/>
          <w:i/>
          <w:iCs/>
          <w:shd w:val="clear" w:color="auto" w:fill="FFFFFF"/>
        </w:rPr>
        <w:footnoteReference w:id="56"/>
      </w:r>
      <w:r w:rsidRPr="00DF223B">
        <w:rPr>
          <w:rFonts w:ascii="Arial" w:hAnsi="Arial" w:cs="Arial"/>
          <w:i/>
          <w:iCs/>
          <w:shd w:val="clear" w:color="auto" w:fill="FFFFFF"/>
        </w:rPr>
        <w:t xml:space="preserve"> </w:t>
      </w:r>
    </w:p>
    <w:p w14:paraId="3ABD5073" w14:textId="77777777" w:rsidR="00E82B3F" w:rsidRPr="00D43F0C" w:rsidRDefault="00E82B3F" w:rsidP="00E82B3F">
      <w:pPr>
        <w:pStyle w:val="Prrafodelista"/>
        <w:jc w:val="both"/>
        <w:rPr>
          <w:rFonts w:ascii="Arial" w:hAnsi="Arial" w:cs="Arial"/>
          <w:i/>
          <w:iCs/>
          <w:shd w:val="clear" w:color="auto" w:fill="FFFFFF"/>
        </w:rPr>
      </w:pPr>
    </w:p>
    <w:p w14:paraId="0BC40D91" w14:textId="77777777" w:rsidR="00E82B3F" w:rsidRPr="00D43F0C" w:rsidRDefault="00E82B3F" w:rsidP="00E82B3F">
      <w:pPr>
        <w:pStyle w:val="Prrafodelista"/>
        <w:ind w:left="567" w:right="284"/>
        <w:jc w:val="both"/>
        <w:rPr>
          <w:rFonts w:ascii="Arial" w:hAnsi="Arial" w:cs="Arial"/>
          <w:i/>
          <w:iCs/>
          <w:sz w:val="20"/>
          <w:szCs w:val="20"/>
          <w:shd w:val="clear" w:color="auto" w:fill="FFFFFF"/>
        </w:rPr>
      </w:pPr>
      <w:r w:rsidRPr="00D43F0C">
        <w:rPr>
          <w:rFonts w:ascii="Arial" w:hAnsi="Arial" w:cs="Arial"/>
          <w:i/>
          <w:iCs/>
          <w:sz w:val="20"/>
          <w:szCs w:val="20"/>
          <w:shd w:val="clear" w:color="auto" w:fill="FFFFFF"/>
        </w:rPr>
        <w:t>“</w:t>
      </w:r>
      <w:r w:rsidRPr="00D43F0C">
        <w:rPr>
          <w:rFonts w:ascii="Arial" w:hAnsi="Arial" w:cs="Arial"/>
          <w:b/>
          <w:bCs/>
          <w:i/>
          <w:iCs/>
          <w:sz w:val="20"/>
          <w:szCs w:val="20"/>
          <w:shd w:val="clear" w:color="auto" w:fill="FFFFFF"/>
        </w:rPr>
        <w:t>JURISPRUDENCIA EMITIDA POR LA CORTE INTERAMERICANA DE DERECHOS HUMANOS. ES VINCULANTE PARA LOS JUECES MEXICANOS SIEMPRE QUE SEA MÁS FAVORABLE A LA PERSONA</w:t>
      </w:r>
      <w:r>
        <w:rPr>
          <w:rFonts w:ascii="Arial" w:hAnsi="Arial" w:cs="Arial"/>
          <w:b/>
          <w:bCs/>
          <w:i/>
          <w:iCs/>
          <w:sz w:val="20"/>
          <w:szCs w:val="20"/>
          <w:shd w:val="clear" w:color="auto" w:fill="FFFFFF"/>
        </w:rPr>
        <w:t>”</w:t>
      </w:r>
      <w:r>
        <w:rPr>
          <w:rStyle w:val="Refdenotaalpie"/>
          <w:rFonts w:ascii="Arial" w:hAnsi="Arial" w:cs="Arial"/>
          <w:b/>
          <w:bCs/>
          <w:i/>
          <w:iCs/>
          <w:sz w:val="20"/>
          <w:szCs w:val="20"/>
          <w:shd w:val="clear" w:color="auto" w:fill="FFFFFF"/>
        </w:rPr>
        <w:footnoteReference w:id="57"/>
      </w:r>
    </w:p>
    <w:p w14:paraId="7B493995" w14:textId="77777777" w:rsidR="00E82B3F" w:rsidRPr="00D43F0C" w:rsidRDefault="00E82B3F" w:rsidP="00E82B3F">
      <w:pPr>
        <w:pStyle w:val="Prrafodelista"/>
        <w:jc w:val="both"/>
        <w:rPr>
          <w:rFonts w:ascii="Arial" w:hAnsi="Arial" w:cs="Arial"/>
          <w:i/>
          <w:iCs/>
          <w:shd w:val="clear" w:color="auto" w:fill="FFFFFF"/>
        </w:rPr>
      </w:pPr>
    </w:p>
    <w:p w14:paraId="4332F507" w14:textId="77777777" w:rsidR="00E82B3F" w:rsidRDefault="00E82B3F" w:rsidP="00E82B3F">
      <w:pPr>
        <w:pStyle w:val="Prrafodelista"/>
        <w:ind w:left="0"/>
        <w:jc w:val="both"/>
        <w:rPr>
          <w:rFonts w:ascii="Arial" w:hAnsi="Arial" w:cs="Arial"/>
          <w:i/>
          <w:iCs/>
          <w:shd w:val="clear" w:color="auto" w:fill="FFFFFF"/>
        </w:rPr>
      </w:pPr>
      <w:r>
        <w:rPr>
          <w:rFonts w:ascii="Arial" w:hAnsi="Arial" w:cs="Arial"/>
          <w:sz w:val="24"/>
          <w:szCs w:val="24"/>
        </w:rPr>
        <w:tab/>
        <w:t xml:space="preserve">De igual forma, en el expediente varios 912/2010, </w:t>
      </w:r>
      <w:r w:rsidRPr="005905D4">
        <w:rPr>
          <w:rFonts w:ascii="Arial" w:hAnsi="Arial" w:cs="Arial"/>
          <w:sz w:val="24"/>
          <w:szCs w:val="24"/>
        </w:rPr>
        <w:t xml:space="preserve">se determinó que, de conformidad con el párrafo 339 de la sentencia de la Corte Interamericana de Derechos Humanos en el caso Radilla Pacheco, el Poder Judicial de la Federación debe ejercer un control de convencionalidad </w:t>
      </w:r>
      <w:r w:rsidRPr="00357450">
        <w:rPr>
          <w:rFonts w:ascii="Arial" w:hAnsi="Arial" w:cs="Arial"/>
          <w:i/>
          <w:iCs/>
          <w:sz w:val="24"/>
          <w:szCs w:val="24"/>
        </w:rPr>
        <w:t xml:space="preserve">ex </w:t>
      </w:r>
      <w:proofErr w:type="spellStart"/>
      <w:r w:rsidRPr="00357450">
        <w:rPr>
          <w:rFonts w:ascii="Arial" w:hAnsi="Arial" w:cs="Arial"/>
          <w:i/>
          <w:iCs/>
          <w:sz w:val="24"/>
          <w:szCs w:val="24"/>
        </w:rPr>
        <w:t>officio</w:t>
      </w:r>
      <w:proofErr w:type="spellEnd"/>
      <w:r w:rsidRPr="005905D4">
        <w:rPr>
          <w:rFonts w:ascii="Arial" w:hAnsi="Arial" w:cs="Arial"/>
          <w:sz w:val="24"/>
          <w:szCs w:val="24"/>
        </w:rPr>
        <w:t xml:space="preserve"> entre las normas internas y la Convención Americana, en el marco de sus respectivas competencias y de las regulaciones procesales correspondientes.</w:t>
      </w:r>
      <w:r>
        <w:rPr>
          <w:rFonts w:ascii="Arial" w:hAnsi="Arial" w:cs="Arial"/>
          <w:sz w:val="24"/>
          <w:szCs w:val="24"/>
        </w:rPr>
        <w:t xml:space="preserve"> Fortalece a lo anterior, la jurisprudencia de rubro siguiente:</w:t>
      </w:r>
    </w:p>
    <w:p w14:paraId="14EED69A" w14:textId="77777777" w:rsidR="00E82B3F" w:rsidRDefault="00E82B3F" w:rsidP="00E82B3F">
      <w:pPr>
        <w:pStyle w:val="Prrafodelista"/>
        <w:jc w:val="both"/>
        <w:rPr>
          <w:rFonts w:ascii="Arial" w:hAnsi="Arial" w:cs="Arial"/>
          <w:i/>
          <w:iCs/>
          <w:shd w:val="clear" w:color="auto" w:fill="FFFFFF"/>
        </w:rPr>
      </w:pPr>
    </w:p>
    <w:p w14:paraId="29AB893E" w14:textId="77777777" w:rsidR="00E82B3F" w:rsidRPr="00DF223B" w:rsidRDefault="00E82B3F" w:rsidP="00E82B3F">
      <w:pPr>
        <w:pStyle w:val="Prrafodelista"/>
        <w:ind w:left="567" w:right="284"/>
        <w:jc w:val="both"/>
        <w:rPr>
          <w:rFonts w:ascii="Arial" w:hAnsi="Arial" w:cs="Arial"/>
          <w:i/>
          <w:iCs/>
          <w:shd w:val="clear" w:color="auto" w:fill="FFFFFF"/>
        </w:rPr>
      </w:pPr>
      <w:r>
        <w:rPr>
          <w:rFonts w:ascii="Arial" w:hAnsi="Arial" w:cs="Arial"/>
          <w:i/>
          <w:iCs/>
          <w:shd w:val="clear" w:color="auto" w:fill="FFFFFF"/>
        </w:rPr>
        <w:t>“</w:t>
      </w:r>
      <w:r w:rsidRPr="005A3C38">
        <w:rPr>
          <w:rFonts w:ascii="Arial" w:hAnsi="Arial" w:cs="Arial"/>
          <w:b/>
          <w:bCs/>
          <w:i/>
          <w:iCs/>
          <w:sz w:val="20"/>
          <w:szCs w:val="20"/>
          <w:shd w:val="clear" w:color="auto" w:fill="FFFFFF"/>
        </w:rPr>
        <w:t>CONTROL DE CONVENCIONALIDAD. ES UNA OBLIGACIÓN INELUDIBLE DE LA AUTORIDAD JURISDICCIONAL EJERCERLO, AUN DE OFICIO, CUYO INCUMPLIMIENTO VULNERA EL MANDATO CONSTITUCIONAL DE PROTEGER Y GARANTIZAR LOS DERECHOS HUMANOS Y COMPROMETE LA RESPONSABILIDAD INTERNACIONAL DEL ESTADO MEXICANO EN SU CONJUNTO</w:t>
      </w:r>
      <w:r>
        <w:rPr>
          <w:rFonts w:ascii="Arial" w:hAnsi="Arial" w:cs="Arial"/>
          <w:i/>
          <w:iCs/>
          <w:shd w:val="clear" w:color="auto" w:fill="FFFFFF"/>
        </w:rPr>
        <w:t>”</w:t>
      </w:r>
      <w:r>
        <w:rPr>
          <w:rStyle w:val="Refdenotaalpie"/>
          <w:rFonts w:ascii="Arial" w:hAnsi="Arial" w:cs="Arial"/>
          <w:i/>
          <w:iCs/>
          <w:shd w:val="clear" w:color="auto" w:fill="FFFFFF"/>
        </w:rPr>
        <w:footnoteReference w:id="58"/>
      </w:r>
    </w:p>
    <w:p w14:paraId="34BCEB50" w14:textId="77777777" w:rsidR="00E82B3F" w:rsidRDefault="00E82B3F" w:rsidP="00E82B3F">
      <w:pPr>
        <w:pStyle w:val="Prrafodelista"/>
        <w:jc w:val="both"/>
        <w:rPr>
          <w:rFonts w:ascii="Arial" w:hAnsi="Arial" w:cs="Arial"/>
          <w:i/>
          <w:iCs/>
          <w:shd w:val="clear" w:color="auto" w:fill="FFFFFF"/>
        </w:rPr>
      </w:pPr>
    </w:p>
    <w:p w14:paraId="4E9C2318" w14:textId="77777777" w:rsidR="00E82B3F" w:rsidRPr="00B16BA6" w:rsidRDefault="00E82B3F" w:rsidP="00E82B3F">
      <w:pPr>
        <w:pStyle w:val="Prrafodelista"/>
        <w:ind w:left="0"/>
        <w:jc w:val="both"/>
        <w:rPr>
          <w:rFonts w:ascii="Arial" w:hAnsi="Arial" w:cs="Arial"/>
          <w:i/>
          <w:iCs/>
          <w:sz w:val="24"/>
          <w:szCs w:val="24"/>
        </w:rPr>
      </w:pPr>
      <w:r>
        <w:rPr>
          <w:rFonts w:ascii="Arial" w:hAnsi="Arial" w:cs="Arial"/>
          <w:shd w:val="clear" w:color="auto" w:fill="FFFFFF"/>
        </w:rPr>
        <w:tab/>
      </w:r>
      <w:r w:rsidRPr="00B16BA6">
        <w:rPr>
          <w:rFonts w:ascii="Arial" w:hAnsi="Arial" w:cs="Arial"/>
          <w:sz w:val="24"/>
          <w:szCs w:val="24"/>
          <w:shd w:val="clear" w:color="auto" w:fill="FFFFFF"/>
        </w:rPr>
        <w:t xml:space="preserve">Ahora, es bien sabido, que el Estado Mexicano fue parte en dos litigios dentro de los cuales fue condenado por la Corte Interamericana de Derechos Humanos en sentencia, estos son: </w:t>
      </w:r>
      <w:r w:rsidRPr="00B16BA6">
        <w:rPr>
          <w:rFonts w:ascii="Arial" w:hAnsi="Arial" w:cs="Arial"/>
          <w:i/>
          <w:iCs/>
          <w:sz w:val="24"/>
          <w:szCs w:val="24"/>
        </w:rPr>
        <w:t>CASO CABRERA GARCÍA Y MONTIEL FLORES VS. MÉXICO SENTENCIA DE 26 DE NOVIEMBRE DE 2010 (Excepción Preliminar, Fondo, Reparaciones y Costas)</w:t>
      </w:r>
      <w:r w:rsidRPr="00B16BA6">
        <w:rPr>
          <w:rFonts w:ascii="Arial" w:hAnsi="Arial" w:cs="Arial"/>
          <w:sz w:val="24"/>
          <w:szCs w:val="24"/>
        </w:rPr>
        <w:t xml:space="preserve"> y en el </w:t>
      </w:r>
      <w:r w:rsidRPr="00B16BA6">
        <w:rPr>
          <w:rFonts w:ascii="Arial" w:hAnsi="Arial" w:cs="Arial"/>
          <w:i/>
          <w:iCs/>
          <w:sz w:val="24"/>
          <w:szCs w:val="24"/>
        </w:rPr>
        <w:t>CASO ALVARADO ESPINOZA Y OTROS VS. MÉXICO SENTENCIA DE 28 DE NOVIEMBRE DE 2018 (Fondo, Reparaciones y Costas).</w:t>
      </w:r>
    </w:p>
    <w:p w14:paraId="56FB310D" w14:textId="77777777" w:rsidR="00E82B3F" w:rsidRPr="00035B01" w:rsidRDefault="00E82B3F" w:rsidP="00E82B3F">
      <w:pPr>
        <w:pStyle w:val="Prrafodelista"/>
        <w:ind w:left="0"/>
        <w:jc w:val="both"/>
        <w:rPr>
          <w:rFonts w:ascii="Arial" w:hAnsi="Arial" w:cs="Arial"/>
          <w:i/>
          <w:iCs/>
          <w:sz w:val="28"/>
          <w:szCs w:val="28"/>
        </w:rPr>
      </w:pPr>
    </w:p>
    <w:p w14:paraId="7D9597AF" w14:textId="77777777" w:rsidR="00E82B3F" w:rsidRDefault="00E82B3F" w:rsidP="00E82B3F">
      <w:pPr>
        <w:pStyle w:val="Prrafodelista"/>
        <w:ind w:left="0"/>
        <w:jc w:val="both"/>
        <w:rPr>
          <w:rFonts w:ascii="Arial" w:hAnsi="Arial" w:cs="Arial"/>
          <w:sz w:val="24"/>
          <w:szCs w:val="24"/>
          <w:shd w:val="clear" w:color="auto" w:fill="FFFFFF"/>
        </w:rPr>
      </w:pPr>
      <w:r>
        <w:rPr>
          <w:rFonts w:ascii="Arial" w:hAnsi="Arial" w:cs="Arial"/>
          <w:sz w:val="24"/>
          <w:szCs w:val="24"/>
        </w:rPr>
        <w:tab/>
      </w:r>
      <w:r w:rsidRPr="00076E97">
        <w:rPr>
          <w:rFonts w:ascii="Arial" w:hAnsi="Arial" w:cs="Arial"/>
          <w:sz w:val="24"/>
          <w:szCs w:val="24"/>
        </w:rPr>
        <w:t>Por</w:t>
      </w:r>
      <w:r>
        <w:rPr>
          <w:rFonts w:ascii="Arial" w:hAnsi="Arial" w:cs="Arial"/>
          <w:sz w:val="24"/>
          <w:szCs w:val="24"/>
        </w:rPr>
        <w:t xml:space="preserve"> tanto, las dos sentencias en cita son vinculantes para el Estado Mexicano. En ese </w:t>
      </w:r>
      <w:r w:rsidRPr="00076E97">
        <w:rPr>
          <w:rFonts w:ascii="Arial" w:hAnsi="Arial" w:cs="Arial"/>
          <w:sz w:val="24"/>
          <w:szCs w:val="24"/>
        </w:rPr>
        <w:t>sentido</w:t>
      </w:r>
      <w:r>
        <w:rPr>
          <w:rFonts w:ascii="Arial" w:hAnsi="Arial" w:cs="Arial"/>
          <w:sz w:val="24"/>
          <w:szCs w:val="24"/>
        </w:rPr>
        <w:t>,</w:t>
      </w:r>
      <w:r w:rsidRPr="00076E97">
        <w:rPr>
          <w:rFonts w:ascii="Arial" w:hAnsi="Arial" w:cs="Arial"/>
          <w:sz w:val="24"/>
          <w:szCs w:val="24"/>
        </w:rPr>
        <w:t xml:space="preserve"> </w:t>
      </w:r>
      <w:r w:rsidRPr="00076E97">
        <w:rPr>
          <w:rFonts w:ascii="Arial" w:hAnsi="Arial" w:cs="Arial"/>
          <w:sz w:val="24"/>
          <w:szCs w:val="24"/>
          <w:shd w:val="clear" w:color="auto" w:fill="FFFFFF"/>
        </w:rPr>
        <w:t xml:space="preserve">a continuación, se exponen las razones por las que el acto reclamado </w:t>
      </w:r>
      <w:r>
        <w:rPr>
          <w:rFonts w:ascii="Arial" w:hAnsi="Arial" w:cs="Arial"/>
          <w:sz w:val="24"/>
          <w:szCs w:val="24"/>
          <w:shd w:val="clear" w:color="auto" w:fill="FFFFFF"/>
        </w:rPr>
        <w:t xml:space="preserve">en este juicio de amparo </w:t>
      </w:r>
      <w:r w:rsidRPr="00076E97">
        <w:rPr>
          <w:rFonts w:ascii="Arial" w:hAnsi="Arial" w:cs="Arial"/>
          <w:sz w:val="24"/>
          <w:szCs w:val="24"/>
          <w:shd w:val="clear" w:color="auto" w:fill="FFFFFF"/>
        </w:rPr>
        <w:t>contraviene l</w:t>
      </w:r>
      <w:r>
        <w:rPr>
          <w:rFonts w:ascii="Arial" w:hAnsi="Arial" w:cs="Arial"/>
          <w:sz w:val="24"/>
          <w:szCs w:val="24"/>
          <w:shd w:val="clear" w:color="auto" w:fill="FFFFFF"/>
        </w:rPr>
        <w:t>as aludidas sentencias de la Corte Interamericana de Derechos Humanos.</w:t>
      </w:r>
    </w:p>
    <w:p w14:paraId="6EE91E37" w14:textId="77777777" w:rsidR="00E82B3F" w:rsidRDefault="00E82B3F" w:rsidP="00E82B3F">
      <w:pPr>
        <w:pStyle w:val="Prrafodelista"/>
        <w:ind w:left="0"/>
        <w:jc w:val="both"/>
        <w:rPr>
          <w:rFonts w:ascii="Arial" w:hAnsi="Arial" w:cs="Arial"/>
          <w:sz w:val="24"/>
          <w:szCs w:val="24"/>
          <w:shd w:val="clear" w:color="auto" w:fill="FFFFFF"/>
        </w:rPr>
      </w:pPr>
    </w:p>
    <w:p w14:paraId="003917C0" w14:textId="44B54D0F" w:rsidR="00E82B3F" w:rsidRDefault="00E82B3F" w:rsidP="00E82B3F">
      <w:pPr>
        <w:pStyle w:val="Prrafodelista"/>
        <w:ind w:left="0"/>
        <w:jc w:val="center"/>
        <w:rPr>
          <w:rFonts w:ascii="Arial" w:hAnsi="Arial" w:cs="Arial"/>
          <w:b/>
          <w:bCs/>
          <w:i/>
          <w:iCs/>
          <w:sz w:val="24"/>
          <w:szCs w:val="24"/>
        </w:rPr>
      </w:pPr>
      <w:r>
        <w:rPr>
          <w:rFonts w:ascii="Arial" w:hAnsi="Arial" w:cs="Arial"/>
          <w:b/>
          <w:bCs/>
          <w:i/>
          <w:iCs/>
          <w:sz w:val="24"/>
          <w:szCs w:val="24"/>
        </w:rPr>
        <w:t xml:space="preserve"> </w:t>
      </w:r>
      <w:r w:rsidRPr="00B16BA6">
        <w:rPr>
          <w:rFonts w:ascii="Arial" w:hAnsi="Arial" w:cs="Arial"/>
          <w:b/>
          <w:bCs/>
          <w:i/>
          <w:iCs/>
          <w:sz w:val="24"/>
          <w:szCs w:val="24"/>
        </w:rPr>
        <w:t xml:space="preserve">CASO CABRERA GARCÍA Y MONTIEL FLORES VS. MÉXICO </w:t>
      </w:r>
    </w:p>
    <w:p w14:paraId="2950C64A" w14:textId="77777777" w:rsidR="00E82B3F" w:rsidRDefault="00E82B3F" w:rsidP="00E82B3F">
      <w:pPr>
        <w:pStyle w:val="Prrafodelista"/>
        <w:ind w:left="0"/>
        <w:jc w:val="center"/>
        <w:rPr>
          <w:rFonts w:ascii="Arial" w:hAnsi="Arial" w:cs="Arial"/>
          <w:b/>
          <w:bCs/>
          <w:i/>
          <w:iCs/>
          <w:sz w:val="24"/>
          <w:szCs w:val="24"/>
        </w:rPr>
      </w:pPr>
      <w:r w:rsidRPr="00B16BA6">
        <w:rPr>
          <w:rFonts w:ascii="Arial" w:hAnsi="Arial" w:cs="Arial"/>
          <w:b/>
          <w:bCs/>
          <w:i/>
          <w:iCs/>
          <w:sz w:val="24"/>
          <w:szCs w:val="24"/>
        </w:rPr>
        <w:t xml:space="preserve">SENTENCIA DE 26 DE NOVIEMBRE DE 2010 </w:t>
      </w:r>
    </w:p>
    <w:p w14:paraId="1AD3DECD" w14:textId="77777777" w:rsidR="00E82B3F" w:rsidRDefault="00E82B3F" w:rsidP="00E82B3F">
      <w:pPr>
        <w:pStyle w:val="Prrafodelista"/>
        <w:ind w:left="0"/>
        <w:jc w:val="center"/>
        <w:rPr>
          <w:rFonts w:ascii="Arial" w:hAnsi="Arial" w:cs="Arial"/>
          <w:b/>
          <w:bCs/>
          <w:sz w:val="24"/>
          <w:szCs w:val="24"/>
        </w:rPr>
      </w:pPr>
      <w:r w:rsidRPr="00B16BA6">
        <w:rPr>
          <w:rFonts w:ascii="Arial" w:hAnsi="Arial" w:cs="Arial"/>
          <w:b/>
          <w:bCs/>
          <w:i/>
          <w:iCs/>
          <w:sz w:val="24"/>
          <w:szCs w:val="24"/>
        </w:rPr>
        <w:t>(Excepción Preliminar, Fondo, Reparaciones y Costas)</w:t>
      </w:r>
      <w:r>
        <w:rPr>
          <w:rStyle w:val="Refdenotaalpie"/>
          <w:rFonts w:ascii="Arial" w:hAnsi="Arial" w:cs="Arial"/>
          <w:b/>
          <w:bCs/>
          <w:i/>
          <w:iCs/>
          <w:sz w:val="24"/>
          <w:szCs w:val="24"/>
        </w:rPr>
        <w:footnoteReference w:id="59"/>
      </w:r>
      <w:r w:rsidRPr="00B16BA6">
        <w:rPr>
          <w:rFonts w:ascii="Arial" w:hAnsi="Arial" w:cs="Arial"/>
          <w:b/>
          <w:bCs/>
          <w:sz w:val="24"/>
          <w:szCs w:val="24"/>
        </w:rPr>
        <w:t>.</w:t>
      </w:r>
    </w:p>
    <w:p w14:paraId="4D171F23" w14:textId="77777777" w:rsidR="00E82B3F" w:rsidRDefault="00E82B3F" w:rsidP="00E82B3F">
      <w:pPr>
        <w:pStyle w:val="Prrafodelista"/>
        <w:ind w:left="0"/>
        <w:jc w:val="center"/>
        <w:rPr>
          <w:rFonts w:ascii="Arial" w:hAnsi="Arial" w:cs="Arial"/>
          <w:b/>
          <w:bCs/>
          <w:sz w:val="24"/>
          <w:szCs w:val="24"/>
        </w:rPr>
      </w:pPr>
    </w:p>
    <w:p w14:paraId="0B125231" w14:textId="77777777" w:rsidR="00E82B3F" w:rsidRDefault="00E82B3F" w:rsidP="00E82B3F">
      <w:pPr>
        <w:pStyle w:val="Prrafodelista"/>
        <w:ind w:left="0"/>
        <w:jc w:val="both"/>
        <w:rPr>
          <w:rFonts w:ascii="Arial" w:hAnsi="Arial" w:cs="Arial"/>
          <w:b/>
          <w:bCs/>
          <w:sz w:val="24"/>
          <w:szCs w:val="24"/>
        </w:rPr>
      </w:pPr>
      <w:r>
        <w:rPr>
          <w:rFonts w:ascii="Arial" w:hAnsi="Arial" w:cs="Arial"/>
          <w:sz w:val="24"/>
          <w:szCs w:val="24"/>
        </w:rPr>
        <w:tab/>
      </w:r>
      <w:r w:rsidRPr="003A16EA">
        <w:rPr>
          <w:rFonts w:ascii="Arial" w:hAnsi="Arial" w:cs="Arial"/>
          <w:sz w:val="24"/>
          <w:szCs w:val="24"/>
        </w:rPr>
        <w:t>El acto reclamado contiene aspectos que son contrarios a</w:t>
      </w:r>
      <w:r>
        <w:rPr>
          <w:rFonts w:ascii="Arial" w:hAnsi="Arial" w:cs="Arial"/>
          <w:sz w:val="24"/>
          <w:szCs w:val="24"/>
        </w:rPr>
        <w:t xml:space="preserve"> la sentencia de veintiséis de noviembre de dos mil diez, mediante la cual se resolvió el</w:t>
      </w:r>
      <w:r w:rsidRPr="003A16EA">
        <w:rPr>
          <w:rFonts w:ascii="Arial" w:hAnsi="Arial" w:cs="Arial"/>
          <w:sz w:val="24"/>
          <w:szCs w:val="24"/>
        </w:rPr>
        <w:t xml:space="preserve"> Caso Cabrera García y M</w:t>
      </w:r>
      <w:r>
        <w:rPr>
          <w:rFonts w:ascii="Arial" w:hAnsi="Arial" w:cs="Arial"/>
          <w:sz w:val="24"/>
          <w:szCs w:val="24"/>
        </w:rPr>
        <w:t xml:space="preserve">ontiel Flores vs. México. Toda vez que el acto reclamado no obedece al </w:t>
      </w:r>
      <w:r w:rsidRPr="00041B75">
        <w:rPr>
          <w:rFonts w:ascii="Arial" w:hAnsi="Arial" w:cs="Arial"/>
          <w:sz w:val="24"/>
          <w:szCs w:val="24"/>
        </w:rPr>
        <w:t>requisito de “</w:t>
      </w:r>
      <w:r w:rsidRPr="00041B75">
        <w:rPr>
          <w:rFonts w:ascii="Arial" w:hAnsi="Arial" w:cs="Arial"/>
          <w:b/>
          <w:bCs/>
          <w:i/>
          <w:iCs/>
          <w:sz w:val="24"/>
          <w:szCs w:val="24"/>
        </w:rPr>
        <w:t>excepcionalidad</w:t>
      </w:r>
      <w:r w:rsidRPr="00041B75">
        <w:rPr>
          <w:rFonts w:ascii="Arial" w:hAnsi="Arial" w:cs="Arial"/>
          <w:sz w:val="24"/>
          <w:szCs w:val="24"/>
        </w:rPr>
        <w:t xml:space="preserve">” que contempla el </w:t>
      </w:r>
      <w:r w:rsidRPr="00041B75">
        <w:rPr>
          <w:rFonts w:ascii="Arial" w:hAnsi="Arial" w:cs="Arial"/>
          <w:i/>
          <w:iCs/>
          <w:sz w:val="24"/>
          <w:szCs w:val="24"/>
        </w:rPr>
        <w:t xml:space="preserve">Caso Cabrera García y Montiel Flores vs México </w:t>
      </w:r>
      <w:r w:rsidRPr="00041B75">
        <w:rPr>
          <w:rFonts w:ascii="Arial" w:hAnsi="Arial" w:cs="Arial"/>
          <w:sz w:val="24"/>
          <w:szCs w:val="24"/>
        </w:rPr>
        <w:t>resuelto por la Corte Interamericana de Derechos Humanos</w:t>
      </w:r>
      <w:r>
        <w:rPr>
          <w:rFonts w:ascii="Arial" w:hAnsi="Arial" w:cs="Arial"/>
          <w:sz w:val="24"/>
          <w:szCs w:val="24"/>
        </w:rPr>
        <w:t xml:space="preserve">, ni al consejo convencional de que </w:t>
      </w:r>
      <w:r w:rsidRPr="000B0754">
        <w:rPr>
          <w:rFonts w:ascii="Arial" w:hAnsi="Arial" w:cs="Arial"/>
          <w:b/>
          <w:bCs/>
          <w:sz w:val="24"/>
          <w:szCs w:val="24"/>
        </w:rPr>
        <w:t>la alta presencia militar acompañada de intervención de las Fuerzas Armadas en actividades de seguridad pública puede implicar la introducción de un riesgo para los derechos humanos</w:t>
      </w:r>
      <w:r>
        <w:rPr>
          <w:rFonts w:ascii="Arial" w:hAnsi="Arial" w:cs="Arial"/>
          <w:b/>
          <w:bCs/>
          <w:sz w:val="24"/>
          <w:szCs w:val="24"/>
        </w:rPr>
        <w:t>, tampoco a que l</w:t>
      </w:r>
      <w:r w:rsidRPr="00AC021E">
        <w:rPr>
          <w:rFonts w:ascii="Arial" w:hAnsi="Arial" w:cs="Arial"/>
          <w:b/>
          <w:bCs/>
          <w:sz w:val="24"/>
          <w:szCs w:val="24"/>
        </w:rPr>
        <w:t>os Estados deben limitar al máximo el uso de las Fuerzas Armadas para el control de la criminalidad común o violencia interna, puesto que el entrenamiento que reciben está dirigido a derrotar un objetivo legítimo, y no a la protección y control de civiles, entrenamiento que es propio de los entes policiales</w:t>
      </w:r>
      <w:r>
        <w:rPr>
          <w:rFonts w:ascii="Arial" w:hAnsi="Arial" w:cs="Arial"/>
          <w:b/>
          <w:bCs/>
          <w:sz w:val="24"/>
          <w:szCs w:val="24"/>
        </w:rPr>
        <w:t xml:space="preserve">. </w:t>
      </w:r>
      <w:r>
        <w:rPr>
          <w:rFonts w:ascii="Arial" w:hAnsi="Arial" w:cs="Arial"/>
          <w:sz w:val="24"/>
          <w:szCs w:val="24"/>
        </w:rPr>
        <w:t>Lo anterior se corrobora a continuación.</w:t>
      </w:r>
    </w:p>
    <w:p w14:paraId="58E7D86C" w14:textId="77777777" w:rsidR="00E82B3F" w:rsidRDefault="00E82B3F" w:rsidP="00E82B3F">
      <w:pPr>
        <w:pStyle w:val="Prrafodelista"/>
        <w:ind w:left="0"/>
        <w:jc w:val="both"/>
        <w:rPr>
          <w:rFonts w:ascii="Arial" w:hAnsi="Arial" w:cs="Arial"/>
          <w:sz w:val="24"/>
          <w:szCs w:val="24"/>
        </w:rPr>
      </w:pPr>
    </w:p>
    <w:p w14:paraId="51669108" w14:textId="77777777" w:rsidR="00E82B3F" w:rsidRDefault="00E82B3F" w:rsidP="00E82B3F">
      <w:pPr>
        <w:pStyle w:val="Prrafodelista"/>
        <w:ind w:left="0"/>
        <w:jc w:val="both"/>
      </w:pPr>
      <w:r>
        <w:rPr>
          <w:rFonts w:ascii="Arial" w:hAnsi="Arial" w:cs="Arial"/>
          <w:sz w:val="24"/>
          <w:szCs w:val="24"/>
        </w:rPr>
        <w:tab/>
        <w:t>Recordemos que en dicho caso se resolvi</w:t>
      </w:r>
      <w:r w:rsidRPr="003A16EA">
        <w:rPr>
          <w:rFonts w:ascii="Arial" w:hAnsi="Arial" w:cs="Arial"/>
          <w:sz w:val="24"/>
          <w:szCs w:val="24"/>
        </w:rPr>
        <w:t xml:space="preserve">ó la responsabilidad del Estado Mexicano por el sometimiento de los señores Teodoro Cabrera García y Rodolfo Montiel Flores (en adelante, los señores "Cabrera García" y "Montiel Flores" o "los señores Cabrera y Montiel") "a tratos crueles, inhumanos y degradantes, mientras se encontraban detenidos y bajo custodia de miembros del Ejército mexicano, por su falta de presentación sin demora ante un juez u otro funcionario autorizado para ejercer funciones judiciales que controlara la legalidad de la detención, y por las irregularidades acaecidas en el proceso penal que se adelantó en su contra. </w:t>
      </w:r>
    </w:p>
    <w:p w14:paraId="66D6CC07" w14:textId="77777777" w:rsidR="00E82B3F" w:rsidRPr="002F722F" w:rsidRDefault="00E82B3F" w:rsidP="00E82B3F">
      <w:pPr>
        <w:spacing w:after="0"/>
        <w:jc w:val="both"/>
        <w:rPr>
          <w:rFonts w:ascii="Arial" w:hAnsi="Arial" w:cs="Arial"/>
          <w:sz w:val="24"/>
          <w:szCs w:val="24"/>
        </w:rPr>
      </w:pPr>
      <w:r>
        <w:tab/>
      </w:r>
      <w:r w:rsidRPr="002F722F">
        <w:rPr>
          <w:rFonts w:ascii="Arial" w:hAnsi="Arial" w:cs="Arial"/>
          <w:sz w:val="24"/>
          <w:szCs w:val="24"/>
        </w:rPr>
        <w:t>Así,</w:t>
      </w:r>
      <w:r>
        <w:rPr>
          <w:rFonts w:ascii="Arial" w:hAnsi="Arial" w:cs="Arial"/>
          <w:sz w:val="24"/>
          <w:szCs w:val="24"/>
        </w:rPr>
        <w:t xml:space="preserve"> los hechos del Caso Cabrera García y Montiel Flores consistieron en que</w:t>
      </w:r>
      <w:r w:rsidRPr="002F722F">
        <w:rPr>
          <w:rFonts w:ascii="Arial" w:hAnsi="Arial" w:cs="Arial"/>
          <w:sz w:val="24"/>
          <w:szCs w:val="24"/>
        </w:rPr>
        <w:t xml:space="preserve"> el 2 de mayo de 1999 el señor Montiel Flores se encontraba fuera de la casa del señor Cabrera García, junto con éste y tres personas más, además de su esposa e hija, en la comunidad de </w:t>
      </w:r>
      <w:proofErr w:type="spellStart"/>
      <w:r w:rsidRPr="002F722F">
        <w:rPr>
          <w:rFonts w:ascii="Arial" w:hAnsi="Arial" w:cs="Arial"/>
          <w:sz w:val="24"/>
          <w:szCs w:val="24"/>
        </w:rPr>
        <w:t>Pizotla</w:t>
      </w:r>
      <w:proofErr w:type="spellEnd"/>
      <w:r w:rsidRPr="002F722F">
        <w:rPr>
          <w:rFonts w:ascii="Arial" w:hAnsi="Arial" w:cs="Arial"/>
          <w:sz w:val="24"/>
          <w:szCs w:val="24"/>
        </w:rPr>
        <w:t xml:space="preserve">, Municipio de </w:t>
      </w:r>
      <w:proofErr w:type="spellStart"/>
      <w:r w:rsidRPr="002F722F">
        <w:rPr>
          <w:rFonts w:ascii="Arial" w:hAnsi="Arial" w:cs="Arial"/>
          <w:sz w:val="24"/>
          <w:szCs w:val="24"/>
        </w:rPr>
        <w:t>Ajuchitlán</w:t>
      </w:r>
      <w:proofErr w:type="spellEnd"/>
      <w:r w:rsidRPr="002F722F">
        <w:rPr>
          <w:rFonts w:ascii="Arial" w:hAnsi="Arial" w:cs="Arial"/>
          <w:sz w:val="24"/>
          <w:szCs w:val="24"/>
        </w:rPr>
        <w:t xml:space="preserve"> del Progreso, estado de Guerrero. Ese mismo día, alrededor de las 9:30 horas, aproximadamente 40 miembros del 40º Batallón de Infantería del Ejército Mexicano entraron en la comunidad, en el marco de un operativo de lucha contra el narcotráfico, que verificaba información respecto a un grupo señalado como "gavilla" presuntamente encabezado por Ramiro "N" y Eduardo García Santana. En dicho contexto, un disparo proveniente de una de las armas de los efectivos militares impactó en el señor Salomé Sánchez, quien perdió la vida en el acto. Los señores Cabrera y Montiel se escondieron entre arbustos y rocas, y permanecieron allí por varias horas. Aproximadamente a las 16:30 horas de ese mismo día fueron detenidos.</w:t>
      </w:r>
    </w:p>
    <w:p w14:paraId="595E0680" w14:textId="77777777" w:rsidR="00E82B3F" w:rsidRPr="002F722F" w:rsidRDefault="00E82B3F" w:rsidP="00E82B3F">
      <w:pPr>
        <w:spacing w:after="0"/>
        <w:jc w:val="both"/>
        <w:rPr>
          <w:rFonts w:ascii="Arial" w:hAnsi="Arial" w:cs="Arial"/>
          <w:sz w:val="24"/>
          <w:szCs w:val="24"/>
        </w:rPr>
      </w:pPr>
    </w:p>
    <w:p w14:paraId="072C542A" w14:textId="77777777" w:rsidR="00E82B3F" w:rsidRPr="002F722F" w:rsidRDefault="00E82B3F" w:rsidP="00E82B3F">
      <w:pPr>
        <w:spacing w:after="0"/>
        <w:jc w:val="both"/>
        <w:rPr>
          <w:rFonts w:ascii="Arial" w:hAnsi="Arial" w:cs="Arial"/>
          <w:sz w:val="24"/>
          <w:szCs w:val="24"/>
        </w:rPr>
      </w:pPr>
      <w:r w:rsidRPr="002F722F">
        <w:rPr>
          <w:rFonts w:ascii="Arial" w:hAnsi="Arial" w:cs="Arial"/>
          <w:sz w:val="24"/>
          <w:szCs w:val="24"/>
        </w:rPr>
        <w:tab/>
        <w:t xml:space="preserve">Las fuerzas militares mantuvieron detenidos a los señores Cabrera y Montiel a orillas del Río </w:t>
      </w:r>
      <w:proofErr w:type="spellStart"/>
      <w:r w:rsidRPr="002F722F">
        <w:rPr>
          <w:rFonts w:ascii="Arial" w:hAnsi="Arial" w:cs="Arial"/>
          <w:sz w:val="24"/>
          <w:szCs w:val="24"/>
        </w:rPr>
        <w:t>Pizotla</w:t>
      </w:r>
      <w:proofErr w:type="spellEnd"/>
      <w:r w:rsidRPr="002F722F">
        <w:rPr>
          <w:rFonts w:ascii="Arial" w:hAnsi="Arial" w:cs="Arial"/>
          <w:sz w:val="24"/>
          <w:szCs w:val="24"/>
        </w:rPr>
        <w:t xml:space="preserve"> hasta el 4 de mayo. Ese día, pasado el mediodía, los trasladaron en un helicóptero hasta las instalaciones del 40º Batallón de Infantería, ubicado en la ciudad de Altamirano, Estado de Guerrero.</w:t>
      </w:r>
    </w:p>
    <w:p w14:paraId="4AA585CE" w14:textId="77777777" w:rsidR="00E82B3F" w:rsidRPr="002F722F" w:rsidRDefault="00E82B3F" w:rsidP="00E82B3F">
      <w:pPr>
        <w:spacing w:after="0"/>
        <w:jc w:val="both"/>
        <w:rPr>
          <w:rFonts w:ascii="Arial" w:hAnsi="Arial" w:cs="Arial"/>
          <w:sz w:val="24"/>
          <w:szCs w:val="24"/>
        </w:rPr>
      </w:pPr>
    </w:p>
    <w:p w14:paraId="4B0B12AA" w14:textId="77777777" w:rsidR="00E82B3F" w:rsidRDefault="00E82B3F" w:rsidP="00E82B3F">
      <w:pPr>
        <w:spacing w:after="0"/>
        <w:jc w:val="both"/>
        <w:rPr>
          <w:rFonts w:ascii="Arial" w:hAnsi="Arial" w:cs="Arial"/>
          <w:sz w:val="24"/>
          <w:szCs w:val="24"/>
        </w:rPr>
      </w:pPr>
      <w:r w:rsidRPr="002F722F">
        <w:rPr>
          <w:rFonts w:ascii="Arial" w:hAnsi="Arial" w:cs="Arial"/>
          <w:sz w:val="24"/>
          <w:szCs w:val="24"/>
        </w:rPr>
        <w:tab/>
        <w:t>A raíz de la denuncia presentada por ciertos miembros del Ejército en contra de los señores Cabrera y Montiel</w:t>
      </w:r>
      <w:r>
        <w:rPr>
          <w:rFonts w:ascii="Arial" w:hAnsi="Arial" w:cs="Arial"/>
          <w:sz w:val="24"/>
          <w:szCs w:val="24"/>
        </w:rPr>
        <w:t xml:space="preserve"> </w:t>
      </w:r>
      <w:r w:rsidRPr="002F722F">
        <w:rPr>
          <w:rFonts w:ascii="Arial" w:hAnsi="Arial" w:cs="Arial"/>
          <w:sz w:val="24"/>
          <w:szCs w:val="24"/>
        </w:rPr>
        <w:t xml:space="preserve">por la comisión de los presuntos delitos de portación de armas de fuego de uso exclusivo del Ejército y sin licencia y siembra de amapola y </w:t>
      </w:r>
      <w:r w:rsidRPr="002F722F">
        <w:rPr>
          <w:rFonts w:ascii="Arial" w:hAnsi="Arial" w:cs="Arial"/>
          <w:sz w:val="24"/>
          <w:szCs w:val="24"/>
        </w:rPr>
        <w:lastRenderedPageBreak/>
        <w:t>marihuana, el Ministerio Público del Fuero Común de Arcelia, Guerrero, inició una investigación penal. El 4 de mayo de 1999 dicho órgano decretó la legal retención de los señores Cabrera y Montiel. Por tratarse de delitos del orden federal, el Ministerio Público del Fuero Común de Arcelia, estado de Guerrero, remitió la indagatoria al Ministerio Público Federal de Coyuca de Catalán. El 12 de mayo de 1999 el proceso pasó por incompetencia</w:t>
      </w:r>
      <w:r>
        <w:rPr>
          <w:rFonts w:ascii="Arial" w:hAnsi="Arial" w:cs="Arial"/>
          <w:sz w:val="24"/>
          <w:szCs w:val="24"/>
        </w:rPr>
        <w:t xml:space="preserve"> </w:t>
      </w:r>
      <w:r w:rsidRPr="002F722F">
        <w:rPr>
          <w:rFonts w:ascii="Arial" w:hAnsi="Arial" w:cs="Arial"/>
          <w:sz w:val="24"/>
          <w:szCs w:val="24"/>
        </w:rPr>
        <w:t>al Juez de Primera Instancia del Ramo Penal del Distrito Judicial de Mina, el cual notificó el auto de formal prisión a los señores Cabrera y Montiel. Este juzgado de Mina declinó su competencia y el proceso pasó al Juez Quinto de Distrito del Vigésimo Primer Circuito en Coyuca de Catalán (en adelante "el Juez Quinto de Distrito"). El 28 de agosto de 2000 este juzgado dictó sentencia contra los señores Cabrera y Montiel, y los condenó a penas privativas de libertad de 6 años y 8 meses de duración en el caso del señor Cabrera García y de 10 años de duración en el caso del señor Montiel Flores.</w:t>
      </w:r>
    </w:p>
    <w:p w14:paraId="02D7F401" w14:textId="77777777" w:rsidR="00E82B3F" w:rsidRDefault="00E82B3F" w:rsidP="00E82B3F">
      <w:pPr>
        <w:spacing w:after="0"/>
        <w:jc w:val="both"/>
        <w:rPr>
          <w:rFonts w:ascii="Arial" w:hAnsi="Arial" w:cs="Arial"/>
          <w:sz w:val="24"/>
          <w:szCs w:val="24"/>
        </w:rPr>
      </w:pPr>
    </w:p>
    <w:p w14:paraId="31B88196" w14:textId="77777777" w:rsidR="00E82B3F" w:rsidRDefault="00E82B3F" w:rsidP="00E82B3F">
      <w:pPr>
        <w:spacing w:after="0"/>
        <w:jc w:val="both"/>
        <w:rPr>
          <w:rFonts w:ascii="Arial" w:hAnsi="Arial" w:cs="Arial"/>
          <w:sz w:val="24"/>
          <w:szCs w:val="24"/>
        </w:rPr>
      </w:pPr>
      <w:r>
        <w:rPr>
          <w:rFonts w:ascii="Arial" w:hAnsi="Arial" w:cs="Arial"/>
          <w:sz w:val="24"/>
          <w:szCs w:val="24"/>
        </w:rPr>
        <w:tab/>
        <w:t xml:space="preserve">Habría que mencionar también que en ese caso la Corte Interamericana de Derechos Humanos </w:t>
      </w:r>
      <w:r w:rsidRPr="004E74EE">
        <w:rPr>
          <w:rFonts w:ascii="Arial" w:hAnsi="Arial" w:cs="Arial"/>
          <w:b/>
          <w:bCs/>
          <w:sz w:val="24"/>
          <w:szCs w:val="24"/>
          <w:u w:val="single"/>
        </w:rPr>
        <w:t>resolvió la responsabilidad del Estado Mexicano</w:t>
      </w:r>
      <w:r>
        <w:rPr>
          <w:rFonts w:ascii="Arial" w:hAnsi="Arial" w:cs="Arial"/>
          <w:sz w:val="24"/>
          <w:szCs w:val="24"/>
        </w:rPr>
        <w:t xml:space="preserve"> en el siguiente sentido:</w:t>
      </w:r>
    </w:p>
    <w:p w14:paraId="0E502C51" w14:textId="77777777" w:rsidR="00E82B3F" w:rsidRDefault="00E82B3F" w:rsidP="00E82B3F">
      <w:pPr>
        <w:spacing w:after="0" w:line="240" w:lineRule="auto"/>
        <w:jc w:val="both"/>
        <w:rPr>
          <w:rFonts w:ascii="Arial" w:hAnsi="Arial" w:cs="Arial"/>
          <w:sz w:val="24"/>
          <w:szCs w:val="24"/>
        </w:rPr>
      </w:pPr>
    </w:p>
    <w:p w14:paraId="34C0DB38" w14:textId="77777777" w:rsidR="00E82B3F" w:rsidRPr="008042EA" w:rsidRDefault="00E82B3F" w:rsidP="00E82B3F">
      <w:pPr>
        <w:spacing w:after="0" w:line="240" w:lineRule="auto"/>
        <w:jc w:val="both"/>
        <w:rPr>
          <w:rFonts w:ascii="Arial" w:hAnsi="Arial" w:cs="Arial"/>
          <w:i/>
          <w:iCs/>
        </w:rPr>
      </w:pPr>
      <w:r>
        <w:rPr>
          <w:rFonts w:ascii="Arial" w:hAnsi="Arial" w:cs="Arial"/>
          <w:sz w:val="24"/>
          <w:szCs w:val="24"/>
        </w:rPr>
        <w:tab/>
      </w:r>
      <w:r w:rsidRPr="008042EA">
        <w:rPr>
          <w:rFonts w:ascii="Arial" w:hAnsi="Arial" w:cs="Arial"/>
          <w:i/>
          <w:iCs/>
        </w:rPr>
        <w:t>Por la violación del derecho a la libertad personal, reconocido en los artículos 7.3, 7.4 y 7.5, en relación con el artículo 1.1 de la Convención Americana sobre Derechos Humanos, en perjuicio de los señores Teodoro Cabrera García y Rodolfo Montiel Flores, de conformidad con lo expuesto en los párrafos 93 a 102; 105 y 106, y 133 a 137 de la presente Sentencia.</w:t>
      </w:r>
    </w:p>
    <w:p w14:paraId="65A6CB3C" w14:textId="77777777" w:rsidR="00E82B3F" w:rsidRPr="008042EA" w:rsidRDefault="00E82B3F" w:rsidP="00E82B3F">
      <w:pPr>
        <w:spacing w:after="0" w:line="240" w:lineRule="auto"/>
        <w:jc w:val="both"/>
        <w:rPr>
          <w:rFonts w:ascii="Arial" w:hAnsi="Arial" w:cs="Arial"/>
          <w:i/>
          <w:iCs/>
        </w:rPr>
      </w:pPr>
    </w:p>
    <w:p w14:paraId="4ACF991C" w14:textId="77777777" w:rsidR="00E82B3F" w:rsidRPr="008042EA" w:rsidRDefault="00E82B3F" w:rsidP="00E82B3F">
      <w:pPr>
        <w:spacing w:after="0" w:line="240" w:lineRule="auto"/>
        <w:jc w:val="both"/>
        <w:rPr>
          <w:rFonts w:ascii="Arial" w:hAnsi="Arial" w:cs="Arial"/>
          <w:i/>
          <w:iCs/>
        </w:rPr>
      </w:pPr>
      <w:r w:rsidRPr="008042EA">
        <w:rPr>
          <w:rFonts w:ascii="Arial" w:hAnsi="Arial" w:cs="Arial"/>
          <w:i/>
          <w:iCs/>
        </w:rPr>
        <w:tab/>
        <w:t xml:space="preserve"> Por la violación del derecho a la integridad personal, establecido en los artículos 5.1 y 5.2, en relación con el artículo 1.1 de la Convención Americana sobre Derechos Humanos, por los tratos crueles, inhumanos y degradantes infligidos a los señores Teodoro Cabrera García y Rodolfo Montiel Flores, de conformidad con lo expuesto en los párrafos 110 a 125 de la presente Sentencia. </w:t>
      </w:r>
    </w:p>
    <w:p w14:paraId="1931989F" w14:textId="77777777" w:rsidR="00E82B3F" w:rsidRPr="008042EA" w:rsidRDefault="00E82B3F" w:rsidP="00E82B3F">
      <w:pPr>
        <w:spacing w:after="0" w:line="240" w:lineRule="auto"/>
        <w:jc w:val="both"/>
        <w:rPr>
          <w:rFonts w:ascii="Arial" w:hAnsi="Arial" w:cs="Arial"/>
          <w:i/>
          <w:iCs/>
        </w:rPr>
      </w:pPr>
    </w:p>
    <w:p w14:paraId="1EB8D040" w14:textId="77777777" w:rsidR="00E82B3F" w:rsidRPr="008042EA" w:rsidRDefault="00E82B3F" w:rsidP="00E82B3F">
      <w:pPr>
        <w:spacing w:after="0" w:line="240" w:lineRule="auto"/>
        <w:jc w:val="both"/>
        <w:rPr>
          <w:rFonts w:ascii="Arial" w:hAnsi="Arial" w:cs="Arial"/>
          <w:i/>
          <w:iCs/>
        </w:rPr>
      </w:pPr>
      <w:r w:rsidRPr="008042EA">
        <w:rPr>
          <w:rFonts w:ascii="Arial" w:hAnsi="Arial" w:cs="Arial"/>
          <w:i/>
          <w:iCs/>
        </w:rPr>
        <w:tab/>
        <w:t>Porque ha incumplido la obligación de investigar los alegados actos de tortura, en los términos de los artículos 5.1 y 5.2, en relación con el artículo 1.1 de la Convención Americana sobre Derechos Humanos, así como de los artículos 1, 6 y 8 de la Convención Interamericana para Prevenir y Sancionar la Tortura, en perjuicio de los señores Teodoro Cabrera García y Rodolfo Montiel Flores, de conformidad con lo expuesto en los párrafos 126 a 132 de la presente Sentencia.</w:t>
      </w:r>
    </w:p>
    <w:p w14:paraId="3319DB7A" w14:textId="77777777" w:rsidR="00E82B3F" w:rsidRPr="008042EA" w:rsidRDefault="00E82B3F" w:rsidP="00E82B3F">
      <w:pPr>
        <w:spacing w:after="0" w:line="240" w:lineRule="auto"/>
        <w:jc w:val="both"/>
        <w:rPr>
          <w:rFonts w:ascii="Arial" w:hAnsi="Arial" w:cs="Arial"/>
          <w:i/>
          <w:iCs/>
        </w:rPr>
      </w:pPr>
    </w:p>
    <w:p w14:paraId="0205A1F4" w14:textId="77777777" w:rsidR="00E82B3F" w:rsidRPr="008042EA" w:rsidRDefault="00E82B3F" w:rsidP="00E82B3F">
      <w:pPr>
        <w:spacing w:after="0" w:line="240" w:lineRule="auto"/>
        <w:jc w:val="both"/>
        <w:rPr>
          <w:rFonts w:ascii="Arial" w:hAnsi="Arial" w:cs="Arial"/>
          <w:i/>
          <w:iCs/>
        </w:rPr>
      </w:pPr>
      <w:r w:rsidRPr="008042EA">
        <w:rPr>
          <w:rFonts w:ascii="Arial" w:hAnsi="Arial" w:cs="Arial"/>
          <w:i/>
          <w:iCs/>
        </w:rPr>
        <w:t xml:space="preserve"> </w:t>
      </w:r>
      <w:r w:rsidRPr="008042EA">
        <w:rPr>
          <w:rFonts w:ascii="Arial" w:hAnsi="Arial" w:cs="Arial"/>
          <w:i/>
          <w:iCs/>
        </w:rPr>
        <w:tab/>
        <w:t xml:space="preserve">Por la violación de la garantía judicial reconocida en el artículo 8.3, en relación con el artículo 1.1 de la Convención Americana sobre Derechos Humanos, en perjuicio de los señores Teodoro Cabrera García y Rodolfo Montiel Flores, de conformidad con lo expuesto en los párrafos 165 a 177 de la presente Sentencia. </w:t>
      </w:r>
    </w:p>
    <w:p w14:paraId="2D22BDD2" w14:textId="77777777" w:rsidR="00E82B3F" w:rsidRPr="008042EA" w:rsidRDefault="00E82B3F" w:rsidP="00E82B3F">
      <w:pPr>
        <w:spacing w:after="0" w:line="240" w:lineRule="auto"/>
        <w:jc w:val="both"/>
        <w:rPr>
          <w:rFonts w:ascii="Arial" w:hAnsi="Arial" w:cs="Arial"/>
          <w:i/>
          <w:iCs/>
        </w:rPr>
      </w:pPr>
    </w:p>
    <w:p w14:paraId="28D8F344" w14:textId="77777777" w:rsidR="00E82B3F" w:rsidRPr="008042EA" w:rsidRDefault="00E82B3F" w:rsidP="00E82B3F">
      <w:pPr>
        <w:spacing w:after="0" w:line="240" w:lineRule="auto"/>
        <w:jc w:val="both"/>
        <w:rPr>
          <w:rFonts w:ascii="Arial" w:hAnsi="Arial" w:cs="Arial"/>
          <w:i/>
          <w:iCs/>
        </w:rPr>
      </w:pPr>
      <w:r w:rsidRPr="008042EA">
        <w:rPr>
          <w:rFonts w:ascii="Arial" w:hAnsi="Arial" w:cs="Arial"/>
          <w:i/>
          <w:iCs/>
        </w:rPr>
        <w:tab/>
        <w:t xml:space="preserve">Por la violación de los derechos a las garantías judiciales y a la protección judicial reconocidos en los artículos 8.1 y 25.1, respectivamente, en relación con los artículos 1.1 y 2 de la Convención Americana sobre Derechos Humanos, al haberse sometido el conocimiento de las alegadas torturas a la jurisdicción penal militar, en perjuicio de los señores Teodoro Cabrera García y Rodolfo Montiel Flores, de conformidad con lo expuesto en los párrafos 197 a 201; 203 y 204, y 205 y 206 de la presente Sentencia. </w:t>
      </w:r>
    </w:p>
    <w:p w14:paraId="25F9373F" w14:textId="77777777" w:rsidR="00E82B3F" w:rsidRPr="008042EA" w:rsidRDefault="00E82B3F" w:rsidP="00E82B3F">
      <w:pPr>
        <w:spacing w:after="0" w:line="240" w:lineRule="auto"/>
        <w:jc w:val="both"/>
        <w:rPr>
          <w:rFonts w:ascii="Arial" w:hAnsi="Arial" w:cs="Arial"/>
          <w:i/>
          <w:iCs/>
        </w:rPr>
      </w:pPr>
    </w:p>
    <w:p w14:paraId="64C9208F" w14:textId="77777777" w:rsidR="00E82B3F" w:rsidRPr="008042EA" w:rsidRDefault="00E82B3F" w:rsidP="00E82B3F">
      <w:pPr>
        <w:spacing w:after="0" w:line="240" w:lineRule="auto"/>
        <w:jc w:val="both"/>
        <w:rPr>
          <w:rFonts w:ascii="Arial" w:hAnsi="Arial" w:cs="Arial"/>
          <w:i/>
          <w:iCs/>
        </w:rPr>
      </w:pPr>
      <w:r w:rsidRPr="008042EA">
        <w:rPr>
          <w:rFonts w:ascii="Arial" w:hAnsi="Arial" w:cs="Arial"/>
          <w:i/>
          <w:iCs/>
        </w:rPr>
        <w:tab/>
        <w:t>Porque ha incumplido la obligación contenida en el artículo 2, en conexión con los artículos 8 y 25 de la Convención Americana sobre Derechos Humanos, al extender la competencia del fuero castrense a delitos que no tienen estricta relación con la disciplina militar o con bienes jurídicos propios del ámbito castrense, de conformidad con lo expuesto en el párrafo 206 de la presente Sentencia.</w:t>
      </w:r>
    </w:p>
    <w:p w14:paraId="12F30264" w14:textId="77777777" w:rsidR="00E82B3F" w:rsidRPr="008042EA" w:rsidRDefault="00E82B3F" w:rsidP="00E82B3F">
      <w:pPr>
        <w:spacing w:after="0" w:line="240" w:lineRule="auto"/>
        <w:jc w:val="both"/>
        <w:rPr>
          <w:rFonts w:ascii="Arial" w:hAnsi="Arial" w:cs="Arial"/>
          <w:i/>
          <w:iCs/>
        </w:rPr>
      </w:pPr>
    </w:p>
    <w:p w14:paraId="0FAF7426" w14:textId="77777777" w:rsidR="00E82B3F" w:rsidRPr="008042EA" w:rsidRDefault="00E82B3F" w:rsidP="00E82B3F">
      <w:pPr>
        <w:spacing w:after="0"/>
        <w:jc w:val="both"/>
        <w:rPr>
          <w:rFonts w:ascii="Arial" w:hAnsi="Arial" w:cs="Arial"/>
          <w:i/>
          <w:iCs/>
        </w:rPr>
      </w:pPr>
      <w:r w:rsidRPr="008042EA">
        <w:rPr>
          <w:rFonts w:ascii="Arial" w:hAnsi="Arial" w:cs="Arial"/>
          <w:i/>
          <w:iCs/>
        </w:rPr>
        <w:tab/>
        <w:t>De igual forma, la Corte Interamericana de Derechos Humanos en la multicitada sentencia resolvió las siguientes medidas:</w:t>
      </w:r>
    </w:p>
    <w:p w14:paraId="590783A9" w14:textId="77777777" w:rsidR="00E82B3F" w:rsidRPr="008042EA" w:rsidRDefault="00E82B3F" w:rsidP="00E82B3F">
      <w:pPr>
        <w:spacing w:after="0" w:line="240" w:lineRule="auto"/>
        <w:jc w:val="both"/>
        <w:rPr>
          <w:rFonts w:ascii="Arial" w:hAnsi="Arial" w:cs="Arial"/>
          <w:i/>
          <w:iCs/>
        </w:rPr>
      </w:pPr>
    </w:p>
    <w:p w14:paraId="1052CA88" w14:textId="77777777" w:rsidR="00E82B3F" w:rsidRPr="008042EA" w:rsidRDefault="00E82B3F" w:rsidP="00E82B3F">
      <w:pPr>
        <w:pStyle w:val="Prrafodelista"/>
        <w:numPr>
          <w:ilvl w:val="0"/>
          <w:numId w:val="35"/>
        </w:numPr>
        <w:spacing w:after="0" w:line="240" w:lineRule="auto"/>
        <w:jc w:val="both"/>
        <w:rPr>
          <w:rFonts w:ascii="Arial" w:hAnsi="Arial" w:cs="Arial"/>
          <w:i/>
          <w:iCs/>
        </w:rPr>
      </w:pPr>
      <w:r w:rsidRPr="008042EA">
        <w:rPr>
          <w:rFonts w:ascii="Arial" w:hAnsi="Arial" w:cs="Arial"/>
          <w:i/>
          <w:iCs/>
          <w:u w:val="single"/>
        </w:rPr>
        <w:t>Medidas de satisfacción</w:t>
      </w:r>
      <w:r w:rsidRPr="008042EA">
        <w:rPr>
          <w:rFonts w:ascii="Arial" w:hAnsi="Arial" w:cs="Arial"/>
          <w:i/>
          <w:iCs/>
        </w:rPr>
        <w:t xml:space="preserve">: Publicación de la Sentencia </w:t>
      </w:r>
    </w:p>
    <w:p w14:paraId="5330789B" w14:textId="77777777" w:rsidR="00E82B3F" w:rsidRPr="008042EA" w:rsidRDefault="00E82B3F" w:rsidP="00E82B3F">
      <w:pPr>
        <w:pStyle w:val="Prrafodelista"/>
        <w:numPr>
          <w:ilvl w:val="0"/>
          <w:numId w:val="35"/>
        </w:numPr>
        <w:spacing w:after="0" w:line="240" w:lineRule="auto"/>
        <w:jc w:val="both"/>
        <w:rPr>
          <w:rFonts w:ascii="Arial" w:hAnsi="Arial" w:cs="Arial"/>
          <w:i/>
          <w:iCs/>
        </w:rPr>
      </w:pPr>
      <w:r w:rsidRPr="008042EA">
        <w:rPr>
          <w:rFonts w:ascii="Arial" w:hAnsi="Arial" w:cs="Arial"/>
          <w:i/>
          <w:iCs/>
          <w:u w:val="single"/>
        </w:rPr>
        <w:t>Medidas de rehabilitación</w:t>
      </w:r>
      <w:r w:rsidRPr="008042EA">
        <w:rPr>
          <w:rFonts w:ascii="Arial" w:hAnsi="Arial" w:cs="Arial"/>
          <w:i/>
          <w:iCs/>
        </w:rPr>
        <w:t>: Atención médica y psicológica y Eliminar los nombres de las víctimas de todo registro de delincuentes</w:t>
      </w:r>
    </w:p>
    <w:p w14:paraId="058FAACE" w14:textId="77777777" w:rsidR="00E82B3F" w:rsidRPr="008042EA" w:rsidRDefault="00E82B3F" w:rsidP="00E82B3F">
      <w:pPr>
        <w:pStyle w:val="Prrafodelista"/>
        <w:numPr>
          <w:ilvl w:val="0"/>
          <w:numId w:val="35"/>
        </w:numPr>
        <w:spacing w:after="0" w:line="240" w:lineRule="auto"/>
        <w:jc w:val="both"/>
        <w:rPr>
          <w:rFonts w:ascii="Arial" w:hAnsi="Arial" w:cs="Arial"/>
          <w:i/>
          <w:iCs/>
        </w:rPr>
      </w:pPr>
      <w:r w:rsidRPr="008042EA">
        <w:rPr>
          <w:rFonts w:ascii="Arial" w:hAnsi="Arial" w:cs="Arial"/>
          <w:i/>
          <w:iCs/>
          <w:u w:val="single"/>
        </w:rPr>
        <w:t>Garantías de no repetición</w:t>
      </w:r>
      <w:r w:rsidRPr="008042EA">
        <w:rPr>
          <w:rFonts w:ascii="Arial" w:hAnsi="Arial" w:cs="Arial"/>
          <w:i/>
          <w:iCs/>
        </w:rPr>
        <w:t>: Adecuación del derecho interno a los estándares internacionales en materia de tortura, la Adopción de un mecanismo de registro de detenidos público y accesible, así como Programas de formación de funcionarios.</w:t>
      </w:r>
    </w:p>
    <w:p w14:paraId="739841CD" w14:textId="77777777" w:rsidR="00E82B3F" w:rsidRPr="008042EA" w:rsidRDefault="00E82B3F" w:rsidP="00E82B3F">
      <w:pPr>
        <w:pStyle w:val="Prrafodelista"/>
        <w:numPr>
          <w:ilvl w:val="0"/>
          <w:numId w:val="35"/>
        </w:numPr>
        <w:spacing w:after="0" w:line="240" w:lineRule="auto"/>
        <w:jc w:val="both"/>
        <w:rPr>
          <w:rFonts w:ascii="Arial" w:hAnsi="Arial" w:cs="Arial"/>
          <w:i/>
          <w:iCs/>
        </w:rPr>
      </w:pPr>
      <w:r w:rsidRPr="008042EA">
        <w:rPr>
          <w:rFonts w:ascii="Arial" w:hAnsi="Arial" w:cs="Arial"/>
          <w:i/>
          <w:iCs/>
          <w:u w:val="single"/>
        </w:rPr>
        <w:lastRenderedPageBreak/>
        <w:t>Otras medidas solicitadas</w:t>
      </w:r>
      <w:r w:rsidRPr="008042EA">
        <w:rPr>
          <w:rFonts w:ascii="Arial" w:hAnsi="Arial" w:cs="Arial"/>
          <w:i/>
          <w:iCs/>
        </w:rPr>
        <w:t xml:space="preserve">: La realización de una campaña de concientización y sensibilización sobre la importancia de la labor que realizan los defensores de los derechos humanos en México; </w:t>
      </w:r>
    </w:p>
    <w:p w14:paraId="332152AE" w14:textId="77777777" w:rsidR="00E82B3F" w:rsidRPr="008042EA" w:rsidRDefault="00E82B3F" w:rsidP="00E82B3F">
      <w:pPr>
        <w:pStyle w:val="Prrafodelista"/>
        <w:numPr>
          <w:ilvl w:val="0"/>
          <w:numId w:val="35"/>
        </w:numPr>
        <w:spacing w:after="0" w:line="240" w:lineRule="auto"/>
        <w:jc w:val="both"/>
        <w:rPr>
          <w:rFonts w:ascii="Arial" w:hAnsi="Arial" w:cs="Arial"/>
          <w:i/>
          <w:iCs/>
        </w:rPr>
      </w:pPr>
      <w:r w:rsidRPr="008042EA">
        <w:rPr>
          <w:rFonts w:ascii="Arial" w:hAnsi="Arial" w:cs="Arial"/>
          <w:i/>
          <w:iCs/>
          <w:u w:val="single"/>
        </w:rPr>
        <w:t>Indemnizaciones compensatorias</w:t>
      </w:r>
      <w:r w:rsidRPr="008042EA">
        <w:rPr>
          <w:rFonts w:ascii="Arial" w:hAnsi="Arial" w:cs="Arial"/>
          <w:i/>
          <w:iCs/>
        </w:rPr>
        <w:t>: En consecuencia, la Corte estima pertinente fijar, en equidad, la cantidad de US$ 20.000,00 (veinte mil dólares de los Estados Unidos de América) a favor de cada una de las víctimas en el presente caso, como compensación por concepto de daño inmaterial.</w:t>
      </w:r>
    </w:p>
    <w:p w14:paraId="206DA4C5" w14:textId="77777777" w:rsidR="00E82B3F" w:rsidRPr="001666D2" w:rsidRDefault="00E82B3F" w:rsidP="00E82B3F">
      <w:pPr>
        <w:spacing w:after="0" w:line="240" w:lineRule="auto"/>
        <w:jc w:val="both"/>
        <w:rPr>
          <w:rFonts w:ascii="Arial" w:hAnsi="Arial" w:cs="Arial"/>
          <w:sz w:val="24"/>
          <w:szCs w:val="24"/>
        </w:rPr>
      </w:pPr>
    </w:p>
    <w:p w14:paraId="2956DEF4" w14:textId="77777777" w:rsidR="00E82B3F" w:rsidRDefault="00E82B3F" w:rsidP="00E82B3F">
      <w:pPr>
        <w:spacing w:after="0" w:line="240" w:lineRule="auto"/>
        <w:jc w:val="both"/>
        <w:rPr>
          <w:rFonts w:ascii="Arial" w:hAnsi="Arial" w:cs="Arial"/>
          <w:sz w:val="24"/>
          <w:szCs w:val="24"/>
        </w:rPr>
      </w:pPr>
      <w:r>
        <w:tab/>
      </w:r>
      <w:r w:rsidRPr="00972CA9">
        <w:rPr>
          <w:rFonts w:ascii="Arial" w:hAnsi="Arial" w:cs="Arial"/>
          <w:sz w:val="24"/>
          <w:szCs w:val="24"/>
        </w:rPr>
        <w:t xml:space="preserve">Ahora, siguiendo lo resuelto por la Corte en el citado caso y en congruencia con lo considerado en el caso Cabrera García y Montiel Flores vs México, a continuación, se precisa que partes del </w:t>
      </w:r>
      <w:r>
        <w:rPr>
          <w:rFonts w:ascii="Arial" w:hAnsi="Arial" w:cs="Arial"/>
          <w:sz w:val="24"/>
          <w:szCs w:val="24"/>
        </w:rPr>
        <w:t xml:space="preserve">caso especialmente contradice el </w:t>
      </w:r>
      <w:r w:rsidRPr="00972CA9">
        <w:rPr>
          <w:rFonts w:ascii="Arial" w:hAnsi="Arial" w:cs="Arial"/>
          <w:sz w:val="24"/>
          <w:szCs w:val="24"/>
        </w:rPr>
        <w:t>acuerdo reclamado:</w:t>
      </w:r>
    </w:p>
    <w:p w14:paraId="04B3F1C3" w14:textId="77777777" w:rsidR="00E82B3F" w:rsidRDefault="00E82B3F" w:rsidP="00E82B3F">
      <w:pPr>
        <w:spacing w:after="0" w:line="240" w:lineRule="auto"/>
        <w:jc w:val="both"/>
        <w:rPr>
          <w:rFonts w:ascii="Arial" w:hAnsi="Arial" w:cs="Arial"/>
          <w:sz w:val="24"/>
          <w:szCs w:val="24"/>
        </w:rPr>
      </w:pPr>
    </w:p>
    <w:p w14:paraId="064E8562" w14:textId="77777777" w:rsidR="00E82B3F" w:rsidRPr="008B43C0" w:rsidRDefault="00E82B3F" w:rsidP="00E82B3F">
      <w:pPr>
        <w:spacing w:after="0" w:line="240" w:lineRule="auto"/>
        <w:ind w:left="567" w:right="284"/>
        <w:jc w:val="both"/>
        <w:rPr>
          <w:rFonts w:ascii="Arial" w:hAnsi="Arial" w:cs="Arial"/>
          <w:i/>
          <w:iCs/>
        </w:rPr>
      </w:pPr>
      <w:r w:rsidRPr="008B43C0">
        <w:rPr>
          <w:rFonts w:ascii="Arial" w:hAnsi="Arial" w:cs="Arial"/>
        </w:rPr>
        <w:t>[…]</w:t>
      </w:r>
      <w:r w:rsidRPr="008B43C0">
        <w:rPr>
          <w:rFonts w:ascii="Arial" w:hAnsi="Arial" w:cs="Arial"/>
          <w:i/>
          <w:iCs/>
        </w:rPr>
        <w:t xml:space="preserve"> 86. Al respecto, la Corte considera que, en algunos contextos y circunstancias, </w:t>
      </w:r>
      <w:r w:rsidRPr="008B43C0">
        <w:rPr>
          <w:rFonts w:ascii="Arial" w:hAnsi="Arial" w:cs="Arial"/>
          <w:b/>
          <w:bCs/>
          <w:i/>
          <w:iCs/>
          <w:u w:val="single"/>
        </w:rPr>
        <w:t>la alta presencia militar acompañada de intervención de las Fuerzas Armadas en actividades de seguridad pública, puede implicar la introducción de un riesgo para los derechos humanos</w:t>
      </w:r>
      <w:r w:rsidRPr="008B43C0">
        <w:rPr>
          <w:rFonts w:ascii="Arial" w:hAnsi="Arial" w:cs="Arial"/>
          <w:i/>
          <w:iCs/>
        </w:rPr>
        <w:t xml:space="preserve">. Así, por ejemplo, organismos internacionales que han analizado las implicaciones de permitir que cuerpos militares realicen funciones de policía judicial, como el Comité de Derechos Humanos de Naciones Unidas y el Relator Especial sobre la Independencia de Magistrados y Abogados, han manifestado su preocupación por el hecho de que los militares ejerzan funciones de investigación, arresto, detención e interrogatorio de civiles 117 , y han indicado que " [l]as funciones de la policía judicial deberían estar exclusivamente a cargo de una entidad civil. […] De esta forma se respetaría la independencia de las investigaciones y se mejoraría mucho el acceso a la justicia por parte de las víctimas y testigos de violaciones de derechos humanos, cuyas denuncias suelen ser investigadas actualmente por las mismas instituciones a las que acusan de perpetrar esas violaciones" 118 . </w:t>
      </w:r>
    </w:p>
    <w:p w14:paraId="0D5FB548" w14:textId="77777777" w:rsidR="00E82B3F" w:rsidRPr="008B43C0" w:rsidRDefault="00E82B3F" w:rsidP="00E82B3F">
      <w:pPr>
        <w:spacing w:after="0" w:line="240" w:lineRule="auto"/>
        <w:ind w:left="567" w:right="284"/>
        <w:jc w:val="both"/>
        <w:rPr>
          <w:rFonts w:ascii="Arial" w:hAnsi="Arial" w:cs="Arial"/>
          <w:i/>
          <w:iCs/>
        </w:rPr>
      </w:pPr>
      <w:r w:rsidRPr="008B43C0">
        <w:rPr>
          <w:rFonts w:ascii="Arial" w:hAnsi="Arial" w:cs="Arial"/>
          <w:i/>
          <w:iCs/>
        </w:rPr>
        <w:t xml:space="preserve">117 Cfr. Naciones Unidas. Observaciones finales del Comité de Derechos Humanos: Colombia 05/05/97.CCPR/C/79/Add.76, párr. 19. </w:t>
      </w:r>
    </w:p>
    <w:p w14:paraId="2BBA32DF" w14:textId="77777777" w:rsidR="00E82B3F" w:rsidRPr="008B43C0" w:rsidRDefault="00E82B3F" w:rsidP="00E82B3F">
      <w:pPr>
        <w:spacing w:after="0" w:line="240" w:lineRule="auto"/>
        <w:ind w:left="567" w:right="284"/>
        <w:jc w:val="both"/>
        <w:rPr>
          <w:rFonts w:ascii="Arial" w:hAnsi="Arial" w:cs="Arial"/>
          <w:i/>
          <w:iCs/>
        </w:rPr>
      </w:pPr>
      <w:r w:rsidRPr="008B43C0">
        <w:rPr>
          <w:rFonts w:ascii="Arial" w:hAnsi="Arial" w:cs="Arial"/>
          <w:i/>
          <w:iCs/>
        </w:rPr>
        <w:t>118 Cfr. Relatores Especiales sobre Tortura y sobre Ejecuciones Extrajudiciales E/CN.4/1995/111, párr. 117</w:t>
      </w:r>
      <w:proofErr w:type="gramStart"/>
      <w:r w:rsidRPr="008B43C0">
        <w:rPr>
          <w:rFonts w:ascii="Arial" w:hAnsi="Arial" w:cs="Arial"/>
          <w:i/>
          <w:iCs/>
        </w:rPr>
        <w:t>.a</w:t>
      </w:r>
      <w:proofErr w:type="gramEnd"/>
      <w:r w:rsidRPr="008B43C0">
        <w:rPr>
          <w:rFonts w:ascii="Arial" w:hAnsi="Arial" w:cs="Arial"/>
          <w:i/>
          <w:iCs/>
        </w:rPr>
        <w:t>. Ratificada por el Relator Especial de las Naciones Unidas sobre la Independencia de Jueces y Abogados (E/CN.4/1998/39/</w:t>
      </w:r>
      <w:proofErr w:type="spellStart"/>
      <w:r w:rsidRPr="008B43C0">
        <w:rPr>
          <w:rFonts w:ascii="Arial" w:hAnsi="Arial" w:cs="Arial"/>
          <w:i/>
          <w:iCs/>
        </w:rPr>
        <w:t>Add</w:t>
      </w:r>
      <w:proofErr w:type="spellEnd"/>
      <w:r w:rsidRPr="008B43C0">
        <w:rPr>
          <w:rFonts w:ascii="Arial" w:hAnsi="Arial" w:cs="Arial"/>
          <w:i/>
          <w:iCs/>
        </w:rPr>
        <w:t>. 2), párr. 185</w:t>
      </w:r>
      <w:proofErr w:type="gramStart"/>
      <w:r w:rsidRPr="008B43C0">
        <w:rPr>
          <w:rFonts w:ascii="Arial" w:hAnsi="Arial" w:cs="Arial"/>
          <w:i/>
          <w:iCs/>
        </w:rPr>
        <w:t>.[</w:t>
      </w:r>
      <w:proofErr w:type="gramEnd"/>
      <w:r w:rsidRPr="008B43C0">
        <w:rPr>
          <w:rFonts w:ascii="Arial" w:hAnsi="Arial" w:cs="Arial"/>
          <w:i/>
          <w:iCs/>
        </w:rPr>
        <w:t>…]</w:t>
      </w:r>
    </w:p>
    <w:p w14:paraId="213E52D4" w14:textId="77777777" w:rsidR="00E82B3F" w:rsidRPr="008B43C0" w:rsidRDefault="00E82B3F" w:rsidP="00E82B3F">
      <w:pPr>
        <w:spacing w:after="0" w:line="240" w:lineRule="auto"/>
        <w:ind w:left="567" w:right="284"/>
        <w:jc w:val="both"/>
        <w:rPr>
          <w:rFonts w:ascii="Arial" w:hAnsi="Arial" w:cs="Arial"/>
          <w:i/>
          <w:iCs/>
        </w:rPr>
      </w:pPr>
      <w:r w:rsidRPr="008B43C0">
        <w:rPr>
          <w:rFonts w:ascii="Arial" w:hAnsi="Arial" w:cs="Arial"/>
          <w:i/>
          <w:iCs/>
        </w:rPr>
        <w:t xml:space="preserve">[…] 88. Tal como ha señalado este Tribunal, </w:t>
      </w:r>
      <w:r w:rsidRPr="008B43C0">
        <w:rPr>
          <w:rFonts w:ascii="Arial" w:hAnsi="Arial" w:cs="Arial"/>
          <w:b/>
          <w:bCs/>
          <w:i/>
          <w:iCs/>
          <w:u w:val="single"/>
        </w:rPr>
        <w:t xml:space="preserve">los Estados deben limitar al máximo el uso de las Fuerzas Armadas para el control de la criminalidad común o violencia interna, puesto que el entrenamiento que reciben está dirigido a derrotar un objetivo legítimo, y no a la protección y control de civiles, entrenamiento que es propio de los entes policiales </w:t>
      </w:r>
      <w:r w:rsidRPr="008B43C0">
        <w:rPr>
          <w:rFonts w:ascii="Arial" w:hAnsi="Arial" w:cs="Arial"/>
          <w:i/>
          <w:iCs/>
        </w:rPr>
        <w:t xml:space="preserve">121 . El deslinde de las funciones militares y de policía debe guiar el estricto cumplimiento del deber de prevención y protección de los derechos en riesgo a cargo de las autoridades internas </w:t>
      </w:r>
      <w:proofErr w:type="gramStart"/>
      <w:r w:rsidRPr="008B43C0">
        <w:rPr>
          <w:rFonts w:ascii="Arial" w:hAnsi="Arial" w:cs="Arial"/>
          <w:i/>
          <w:iCs/>
        </w:rPr>
        <w:t>122 .</w:t>
      </w:r>
      <w:proofErr w:type="gramEnd"/>
    </w:p>
    <w:p w14:paraId="6EFC633C" w14:textId="77777777" w:rsidR="00E82B3F" w:rsidRPr="008B43C0" w:rsidRDefault="00E82B3F" w:rsidP="00E82B3F">
      <w:pPr>
        <w:spacing w:after="0" w:line="240" w:lineRule="auto"/>
        <w:ind w:left="567" w:right="284"/>
        <w:jc w:val="both"/>
        <w:rPr>
          <w:rFonts w:ascii="Arial" w:hAnsi="Arial" w:cs="Arial"/>
          <w:i/>
          <w:iCs/>
        </w:rPr>
      </w:pPr>
      <w:r w:rsidRPr="008B43C0">
        <w:rPr>
          <w:rFonts w:ascii="Arial" w:hAnsi="Arial" w:cs="Arial"/>
          <w:i/>
          <w:iCs/>
        </w:rPr>
        <w:t xml:space="preserve"> 121 Cfr. Caso Montero Aranguren y </w:t>
      </w:r>
      <w:proofErr w:type="gramStart"/>
      <w:r w:rsidRPr="008B43C0">
        <w:rPr>
          <w:rFonts w:ascii="Arial" w:hAnsi="Arial" w:cs="Arial"/>
          <w:i/>
          <w:iCs/>
        </w:rPr>
        <w:t>otros</w:t>
      </w:r>
      <w:proofErr w:type="gramEnd"/>
      <w:r w:rsidRPr="008B43C0">
        <w:rPr>
          <w:rFonts w:ascii="Arial" w:hAnsi="Arial" w:cs="Arial"/>
          <w:i/>
          <w:iCs/>
        </w:rPr>
        <w:t xml:space="preserve"> (Retén de Catia) vs. Venezuela, supra nota 120, párr. 78, y Caso Zambrano Vélez y otros vs. Ecuador, supra nota 24, párr. 51.</w:t>
      </w:r>
    </w:p>
    <w:p w14:paraId="6377D4EE" w14:textId="77777777" w:rsidR="00E82B3F" w:rsidRPr="008B43C0" w:rsidRDefault="00E82B3F" w:rsidP="00E82B3F">
      <w:pPr>
        <w:spacing w:after="0" w:line="240" w:lineRule="auto"/>
        <w:ind w:left="567" w:right="284"/>
        <w:jc w:val="both"/>
        <w:rPr>
          <w:rFonts w:ascii="Arial" w:hAnsi="Arial" w:cs="Arial"/>
          <w:i/>
          <w:iCs/>
        </w:rPr>
      </w:pPr>
      <w:r w:rsidRPr="008B43C0">
        <w:rPr>
          <w:rFonts w:ascii="Arial" w:hAnsi="Arial" w:cs="Arial"/>
          <w:i/>
          <w:iCs/>
        </w:rPr>
        <w:t>122 Cfr. Caso Zambrano Vélez y otros vs. Ecuador, supra nota 24, párr. 51.</w:t>
      </w:r>
    </w:p>
    <w:p w14:paraId="07308A1A" w14:textId="77777777" w:rsidR="00E82B3F" w:rsidRPr="008B43C0" w:rsidRDefault="00E82B3F" w:rsidP="00E82B3F">
      <w:pPr>
        <w:spacing w:after="0" w:line="240" w:lineRule="auto"/>
        <w:ind w:left="567" w:right="284"/>
        <w:jc w:val="both"/>
        <w:rPr>
          <w:rFonts w:ascii="Arial" w:hAnsi="Arial" w:cs="Arial"/>
          <w:i/>
          <w:iCs/>
        </w:rPr>
      </w:pPr>
      <w:r w:rsidRPr="008B43C0">
        <w:rPr>
          <w:rFonts w:ascii="Arial" w:hAnsi="Arial" w:cs="Arial"/>
          <w:b/>
          <w:bCs/>
          <w:i/>
          <w:iCs/>
          <w:u w:val="single"/>
        </w:rPr>
        <w:t xml:space="preserve">89. La Corte considera que la posibilidad de otorgar a las Fuerzas Armadas funciones dirigidas a la restricción de la libertad personal de civiles, además de atender a los requisitos de estricta proporcionalidad en la restricción de un derecho, debe responder, a su vez, a criterios estrictos de excepcionalidad y debida diligencia en la salvaguarda de las garantías convencionales, teniendo en cuenta, como ha sido señalado (supra </w:t>
      </w:r>
      <w:proofErr w:type="spellStart"/>
      <w:r w:rsidRPr="008B43C0">
        <w:rPr>
          <w:rFonts w:ascii="Arial" w:hAnsi="Arial" w:cs="Arial"/>
          <w:b/>
          <w:bCs/>
          <w:i/>
          <w:iCs/>
          <w:u w:val="single"/>
        </w:rPr>
        <w:t>párrs</w:t>
      </w:r>
      <w:proofErr w:type="spellEnd"/>
      <w:r w:rsidRPr="008B43C0">
        <w:rPr>
          <w:rFonts w:ascii="Arial" w:hAnsi="Arial" w:cs="Arial"/>
          <w:b/>
          <w:bCs/>
          <w:i/>
          <w:iCs/>
          <w:u w:val="single"/>
        </w:rPr>
        <w:t>. 86 y 87), que el régimen propio de las fuerzas militares al cual difícilmente pueden sustraerse sus miembros, no se concilia con las funciones propias de las autoridades civiles</w:t>
      </w:r>
      <w:r w:rsidRPr="008B43C0">
        <w:rPr>
          <w:rFonts w:ascii="Arial" w:hAnsi="Arial" w:cs="Arial"/>
          <w:i/>
          <w:iCs/>
        </w:rPr>
        <w:t xml:space="preserve">.[…] </w:t>
      </w:r>
    </w:p>
    <w:p w14:paraId="6C2EC08A" w14:textId="77777777" w:rsidR="00E82B3F" w:rsidRDefault="00E82B3F" w:rsidP="00E82B3F">
      <w:pPr>
        <w:spacing w:after="0" w:line="240" w:lineRule="auto"/>
        <w:ind w:left="567" w:right="284"/>
        <w:jc w:val="both"/>
        <w:rPr>
          <w:rFonts w:ascii="Arial" w:hAnsi="Arial" w:cs="Arial"/>
          <w:i/>
          <w:iCs/>
        </w:rPr>
      </w:pPr>
    </w:p>
    <w:p w14:paraId="589D57B5" w14:textId="77777777" w:rsidR="00E82B3F" w:rsidRDefault="00E82B3F" w:rsidP="00E82B3F">
      <w:pPr>
        <w:spacing w:after="0" w:line="240" w:lineRule="auto"/>
        <w:jc w:val="both"/>
        <w:rPr>
          <w:rFonts w:ascii="Arial" w:hAnsi="Arial" w:cs="Arial"/>
        </w:rPr>
      </w:pPr>
      <w:r>
        <w:rPr>
          <w:rFonts w:ascii="Arial" w:hAnsi="Arial" w:cs="Arial"/>
        </w:rPr>
        <w:tab/>
      </w:r>
      <w:r w:rsidRPr="0024683A">
        <w:rPr>
          <w:rFonts w:ascii="Arial" w:hAnsi="Arial" w:cs="Arial"/>
          <w:sz w:val="24"/>
          <w:szCs w:val="24"/>
        </w:rPr>
        <w:t xml:space="preserve">Las autoridades responsables emitieron el acuerdo reclamado ordenando la participación del </w:t>
      </w:r>
      <w:proofErr w:type="gramStart"/>
      <w:r w:rsidRPr="0024683A">
        <w:rPr>
          <w:rFonts w:ascii="Arial" w:hAnsi="Arial" w:cs="Arial"/>
          <w:sz w:val="24"/>
          <w:szCs w:val="24"/>
        </w:rPr>
        <w:t>Ejercito</w:t>
      </w:r>
      <w:proofErr w:type="gramEnd"/>
      <w:r w:rsidRPr="0024683A">
        <w:rPr>
          <w:rFonts w:ascii="Arial" w:hAnsi="Arial" w:cs="Arial"/>
          <w:sz w:val="24"/>
          <w:szCs w:val="24"/>
        </w:rPr>
        <w:t xml:space="preserve"> en las tareas de la seguridad pública durante el plazo de cinco años continuos contados a partir de la entrada en vigor del decreto publicado en el Diario Oficial de la Federación el veintiséis de marzo de dos mil diecinueve. </w:t>
      </w:r>
    </w:p>
    <w:p w14:paraId="273A920C" w14:textId="77777777" w:rsidR="00E82B3F" w:rsidRDefault="00E82B3F" w:rsidP="00E82B3F">
      <w:pPr>
        <w:spacing w:after="0" w:line="240" w:lineRule="auto"/>
        <w:jc w:val="both"/>
        <w:rPr>
          <w:rFonts w:ascii="Arial" w:hAnsi="Arial" w:cs="Arial"/>
        </w:rPr>
      </w:pPr>
    </w:p>
    <w:p w14:paraId="0D01A14B" w14:textId="77777777" w:rsidR="00E82B3F" w:rsidRDefault="00E82B3F" w:rsidP="00E82B3F">
      <w:pPr>
        <w:spacing w:after="0" w:line="240" w:lineRule="auto"/>
        <w:ind w:left="567" w:right="284"/>
        <w:jc w:val="both"/>
        <w:rPr>
          <w:rFonts w:ascii="Arial" w:hAnsi="Arial" w:cs="Arial"/>
          <w:i/>
          <w:iCs/>
        </w:rPr>
      </w:pPr>
      <w:r w:rsidRPr="006507B1">
        <w:rPr>
          <w:rFonts w:ascii="Arial" w:hAnsi="Arial" w:cs="Arial"/>
          <w:i/>
          <w:iCs/>
        </w:rPr>
        <w:t xml:space="preserve">[…] ACUERDO PRIMERO. Se ordena a la Fuerza Armada permanente a participar de manera extraordinaria, regulada, fiscalizada subordinada y complementaria con la Guardia Nacional en las funciones de seguridad pública a cargo de ésta última, durante el tiempo en que dicha institución policial desarrolla su estructura, capacidades e implantación territorial, sin que dicha participación exceda de </w:t>
      </w:r>
      <w:r w:rsidRPr="005329AD">
        <w:rPr>
          <w:rFonts w:ascii="Arial" w:hAnsi="Arial" w:cs="Arial"/>
          <w:b/>
          <w:bCs/>
          <w:i/>
          <w:iCs/>
          <w:u w:val="single"/>
        </w:rPr>
        <w:t xml:space="preserve">cinco años </w:t>
      </w:r>
      <w:r w:rsidRPr="006507B1">
        <w:rPr>
          <w:rFonts w:ascii="Arial" w:hAnsi="Arial" w:cs="Arial"/>
          <w:i/>
          <w:iCs/>
        </w:rPr>
        <w:t>contados a partir de la entrada en vigor del Decreto por el que se reforman, adicionan y derogan diversas disposiciones de la Constitución Política de los Estados Unidos Mexicanos, en materia de Guardia Nacional, publicado el 26 de marzo de 2019, en el Diario Oficial de la Federación.</w:t>
      </w:r>
      <w:r>
        <w:rPr>
          <w:rFonts w:ascii="Arial" w:hAnsi="Arial" w:cs="Arial"/>
          <w:i/>
          <w:iCs/>
        </w:rPr>
        <w:t>[…]</w:t>
      </w:r>
      <w:r w:rsidRPr="006507B1">
        <w:rPr>
          <w:rFonts w:ascii="Arial" w:hAnsi="Arial" w:cs="Arial"/>
          <w:i/>
          <w:iCs/>
        </w:rPr>
        <w:t xml:space="preserve"> </w:t>
      </w:r>
    </w:p>
    <w:p w14:paraId="12955FF0" w14:textId="77777777" w:rsidR="00E82B3F" w:rsidRDefault="00E82B3F" w:rsidP="00E82B3F">
      <w:pPr>
        <w:spacing w:after="0" w:line="240" w:lineRule="auto"/>
        <w:jc w:val="both"/>
        <w:rPr>
          <w:rFonts w:ascii="Arial" w:hAnsi="Arial" w:cs="Arial"/>
        </w:rPr>
      </w:pPr>
    </w:p>
    <w:p w14:paraId="078E3BAE" w14:textId="77777777" w:rsidR="00E82B3F" w:rsidRDefault="00E82B3F" w:rsidP="00E82B3F">
      <w:pPr>
        <w:spacing w:before="240"/>
        <w:jc w:val="both"/>
        <w:rPr>
          <w:rFonts w:ascii="Arial" w:hAnsi="Arial" w:cs="Arial"/>
          <w:sz w:val="24"/>
          <w:szCs w:val="24"/>
        </w:rPr>
      </w:pPr>
      <w:r>
        <w:rPr>
          <w:rFonts w:ascii="Arial" w:hAnsi="Arial" w:cs="Arial"/>
        </w:rPr>
        <w:tab/>
      </w:r>
      <w:r w:rsidRPr="00041B75">
        <w:rPr>
          <w:rFonts w:ascii="Arial" w:hAnsi="Arial" w:cs="Arial"/>
          <w:sz w:val="24"/>
          <w:szCs w:val="24"/>
        </w:rPr>
        <w:t>Por tanto, el acuerdo presidencial que se reclama no obedece al requisito de “</w:t>
      </w:r>
      <w:r w:rsidRPr="00041B75">
        <w:rPr>
          <w:rFonts w:ascii="Arial" w:hAnsi="Arial" w:cs="Arial"/>
          <w:b/>
          <w:bCs/>
          <w:i/>
          <w:iCs/>
          <w:sz w:val="24"/>
          <w:szCs w:val="24"/>
        </w:rPr>
        <w:t>excepcionalidad</w:t>
      </w:r>
      <w:r w:rsidRPr="00041B75">
        <w:rPr>
          <w:rFonts w:ascii="Arial" w:hAnsi="Arial" w:cs="Arial"/>
          <w:sz w:val="24"/>
          <w:szCs w:val="24"/>
        </w:rPr>
        <w:t xml:space="preserve">” que contempla el </w:t>
      </w:r>
      <w:r w:rsidRPr="00041B75">
        <w:rPr>
          <w:rFonts w:ascii="Arial" w:hAnsi="Arial" w:cs="Arial"/>
          <w:i/>
          <w:iCs/>
          <w:sz w:val="24"/>
          <w:szCs w:val="24"/>
        </w:rPr>
        <w:t xml:space="preserve">Caso Cabrera García y Montiel Flores vs México </w:t>
      </w:r>
      <w:r w:rsidRPr="00041B75">
        <w:rPr>
          <w:rFonts w:ascii="Arial" w:hAnsi="Arial" w:cs="Arial"/>
          <w:sz w:val="24"/>
          <w:szCs w:val="24"/>
        </w:rPr>
        <w:lastRenderedPageBreak/>
        <w:t xml:space="preserve">resuelto por la Corte Interamericana de Derechos Humanos, debido a que el acto reclamado ordena y autoriza la participación del Ejercito en las tareas de la seguridad pública </w:t>
      </w:r>
      <w:r>
        <w:rPr>
          <w:rFonts w:ascii="Arial" w:hAnsi="Arial" w:cs="Arial"/>
          <w:sz w:val="24"/>
          <w:szCs w:val="24"/>
        </w:rPr>
        <w:t xml:space="preserve">de forma continua </w:t>
      </w:r>
      <w:r w:rsidRPr="00041B75">
        <w:rPr>
          <w:rFonts w:ascii="Arial" w:hAnsi="Arial" w:cs="Arial"/>
          <w:sz w:val="24"/>
          <w:szCs w:val="24"/>
        </w:rPr>
        <w:t xml:space="preserve">hasta el veintiséis de marzo de dos mil veinticuatro, tiempo suficiente para que acontezcan hechos irreparables por violaciones a derechos fundamentales por parte de elementos castrenses. </w:t>
      </w:r>
      <w:r>
        <w:rPr>
          <w:rFonts w:ascii="Arial" w:hAnsi="Arial" w:cs="Arial"/>
          <w:sz w:val="24"/>
          <w:szCs w:val="24"/>
        </w:rPr>
        <w:t xml:space="preserve">Ahora, cuanto a la semántica de la palabra excepcionalidad encontré en el diccionario de la real academia española lo siguiente: </w:t>
      </w:r>
    </w:p>
    <w:p w14:paraId="76942C3E" w14:textId="77777777" w:rsidR="00E82B3F" w:rsidRPr="00F2362A" w:rsidRDefault="00E82B3F" w:rsidP="00E82B3F">
      <w:pPr>
        <w:spacing w:after="0" w:line="240" w:lineRule="auto"/>
        <w:ind w:left="567" w:right="284"/>
        <w:jc w:val="both"/>
        <w:rPr>
          <w:rFonts w:ascii="Arial" w:eastAsia="Times New Roman" w:hAnsi="Arial" w:cs="Arial"/>
          <w:i/>
          <w:iCs/>
          <w:szCs w:val="24"/>
        </w:rPr>
      </w:pPr>
      <w:r w:rsidRPr="00F2362A">
        <w:rPr>
          <w:rFonts w:ascii="Arial" w:hAnsi="Arial" w:cs="Arial"/>
          <w:i/>
          <w:iCs/>
          <w:szCs w:val="24"/>
        </w:rPr>
        <w:t xml:space="preserve">[…] </w:t>
      </w:r>
      <w:r w:rsidRPr="00F2362A">
        <w:rPr>
          <w:rFonts w:ascii="Arial" w:hAnsi="Arial" w:cs="Arial"/>
          <w:b/>
          <w:bCs/>
          <w:i/>
          <w:iCs/>
          <w:szCs w:val="24"/>
        </w:rPr>
        <w:t>Excepcionalidad.</w:t>
      </w:r>
      <w:r w:rsidRPr="00F2362A">
        <w:rPr>
          <w:rFonts w:ascii="Arial" w:hAnsi="Arial" w:cs="Arial"/>
          <w:i/>
          <w:iCs/>
          <w:szCs w:val="24"/>
        </w:rPr>
        <w:t xml:space="preserve"> </w:t>
      </w:r>
      <w:r w:rsidRPr="00F2362A">
        <w:rPr>
          <w:rStyle w:val="nacep"/>
          <w:rFonts w:ascii="Arial" w:eastAsia="Arial Unicode MS" w:hAnsi="Arial" w:cs="Arial"/>
          <w:b/>
          <w:bCs/>
          <w:i/>
          <w:iCs/>
          <w:color w:val="000000"/>
          <w:spacing w:val="4"/>
          <w:szCs w:val="24"/>
          <w:shd w:val="clear" w:color="auto" w:fill="FFFFFF"/>
        </w:rPr>
        <w:t>1. </w:t>
      </w:r>
      <w:r w:rsidRPr="00F2362A">
        <w:rPr>
          <w:rFonts w:ascii="Arial" w:hAnsi="Arial" w:cs="Arial"/>
          <w:i/>
          <w:iCs/>
          <w:szCs w:val="24"/>
        </w:rPr>
        <w:t>f.</w:t>
      </w:r>
      <w:r w:rsidRPr="00F2362A">
        <w:rPr>
          <w:rFonts w:ascii="Arial" w:eastAsia="Arial Unicode MS" w:hAnsi="Arial" w:cs="Arial"/>
          <w:i/>
          <w:iCs/>
          <w:color w:val="000000"/>
          <w:spacing w:val="4"/>
          <w:szCs w:val="24"/>
          <w:shd w:val="clear" w:color="auto" w:fill="FFFFFF"/>
        </w:rPr>
        <w:t> </w:t>
      </w:r>
      <w:r w:rsidRPr="00F2362A">
        <w:rPr>
          <w:rFonts w:ascii="Arial" w:hAnsi="Arial" w:cs="Arial"/>
          <w:i/>
          <w:iCs/>
          <w:szCs w:val="24"/>
        </w:rPr>
        <w:t>Cualidad</w:t>
      </w:r>
      <w:r w:rsidRPr="00F2362A">
        <w:rPr>
          <w:rFonts w:ascii="Arial" w:eastAsia="Arial Unicode MS" w:hAnsi="Arial" w:cs="Arial"/>
          <w:i/>
          <w:iCs/>
          <w:color w:val="000000"/>
          <w:spacing w:val="4"/>
          <w:szCs w:val="24"/>
          <w:shd w:val="clear" w:color="auto" w:fill="FFFFFF"/>
        </w:rPr>
        <w:t> </w:t>
      </w:r>
      <w:r w:rsidRPr="00F2362A">
        <w:rPr>
          <w:rFonts w:ascii="Arial" w:hAnsi="Arial" w:cs="Arial"/>
          <w:i/>
          <w:iCs/>
          <w:szCs w:val="24"/>
        </w:rPr>
        <w:t>de</w:t>
      </w:r>
      <w:r w:rsidRPr="00F2362A">
        <w:rPr>
          <w:rFonts w:ascii="Arial" w:eastAsia="Arial Unicode MS" w:hAnsi="Arial" w:cs="Arial"/>
          <w:i/>
          <w:iCs/>
          <w:color w:val="000000"/>
          <w:spacing w:val="4"/>
          <w:szCs w:val="24"/>
          <w:shd w:val="clear" w:color="auto" w:fill="FFFFFF"/>
        </w:rPr>
        <w:t> </w:t>
      </w:r>
      <w:r w:rsidRPr="00F2362A">
        <w:rPr>
          <w:rFonts w:ascii="Arial" w:hAnsi="Arial" w:cs="Arial"/>
          <w:i/>
          <w:iCs/>
          <w:szCs w:val="24"/>
        </w:rPr>
        <w:t>excepcional</w:t>
      </w:r>
      <w:r w:rsidRPr="00F2362A">
        <w:rPr>
          <w:rFonts w:ascii="Arial" w:eastAsia="Arial Unicode MS" w:hAnsi="Arial" w:cs="Arial"/>
          <w:i/>
          <w:iCs/>
          <w:color w:val="000000"/>
          <w:spacing w:val="4"/>
          <w:szCs w:val="24"/>
          <w:shd w:val="clear" w:color="auto" w:fill="FFFFFF"/>
        </w:rPr>
        <w:t xml:space="preserve">. […]. </w:t>
      </w:r>
    </w:p>
    <w:p w14:paraId="2D7242E8" w14:textId="77777777" w:rsidR="00E82B3F" w:rsidRPr="00F2362A" w:rsidRDefault="00E82B3F" w:rsidP="00E82B3F">
      <w:pPr>
        <w:spacing w:after="0" w:line="240" w:lineRule="auto"/>
        <w:ind w:left="567" w:right="284"/>
        <w:jc w:val="both"/>
        <w:rPr>
          <w:rFonts w:ascii="Arial" w:eastAsia="Arial Unicode MS" w:hAnsi="Arial" w:cs="Arial"/>
          <w:i/>
          <w:iCs/>
          <w:color w:val="000000"/>
          <w:spacing w:val="4"/>
          <w:szCs w:val="24"/>
        </w:rPr>
      </w:pPr>
      <w:r w:rsidRPr="00F2362A">
        <w:rPr>
          <w:rFonts w:ascii="Arial" w:eastAsia="Times New Roman" w:hAnsi="Arial" w:cs="Arial"/>
          <w:i/>
          <w:iCs/>
          <w:szCs w:val="24"/>
        </w:rPr>
        <w:t>[…]</w:t>
      </w:r>
      <w:r w:rsidRPr="00F2362A">
        <w:rPr>
          <w:rFonts w:ascii="Arial" w:eastAsia="Times New Roman" w:hAnsi="Arial" w:cs="Arial"/>
          <w:b/>
          <w:bCs/>
          <w:i/>
          <w:iCs/>
          <w:szCs w:val="24"/>
        </w:rPr>
        <w:t>Excepcional.</w:t>
      </w:r>
      <w:r w:rsidRPr="00F2362A">
        <w:rPr>
          <w:rFonts w:ascii="Arial" w:eastAsia="Arial Unicode MS" w:hAnsi="Arial" w:cs="Arial"/>
          <w:b/>
          <w:bCs/>
          <w:i/>
          <w:iCs/>
          <w:color w:val="000000"/>
          <w:spacing w:val="4"/>
          <w:szCs w:val="24"/>
        </w:rPr>
        <w:t>1. </w:t>
      </w:r>
      <w:r w:rsidRPr="00F2362A">
        <w:rPr>
          <w:rFonts w:ascii="Arial" w:eastAsia="Arial Unicode MS" w:hAnsi="Arial" w:cs="Arial"/>
          <w:i/>
          <w:iCs/>
          <w:color w:val="000000"/>
          <w:spacing w:val="4"/>
          <w:szCs w:val="24"/>
        </w:rPr>
        <w:t>adj. Que constituye excepción de la regla común.</w:t>
      </w:r>
      <w:r w:rsidRPr="00F2362A">
        <w:rPr>
          <w:rFonts w:ascii="Arial" w:eastAsia="Arial Unicode MS" w:hAnsi="Arial" w:cs="Arial"/>
          <w:b/>
          <w:bCs/>
          <w:i/>
          <w:iCs/>
          <w:color w:val="000000"/>
          <w:spacing w:val="4"/>
          <w:szCs w:val="24"/>
        </w:rPr>
        <w:t>2. </w:t>
      </w:r>
      <w:proofErr w:type="gramStart"/>
      <w:r w:rsidRPr="00F2362A">
        <w:rPr>
          <w:rFonts w:ascii="Arial" w:eastAsia="Arial Unicode MS" w:hAnsi="Arial" w:cs="Arial"/>
          <w:i/>
          <w:iCs/>
          <w:color w:val="000000"/>
          <w:spacing w:val="4"/>
          <w:szCs w:val="24"/>
        </w:rPr>
        <w:t>adj</w:t>
      </w:r>
      <w:proofErr w:type="gramEnd"/>
      <w:r w:rsidRPr="00F2362A">
        <w:rPr>
          <w:rFonts w:ascii="Arial" w:eastAsia="Arial Unicode MS" w:hAnsi="Arial" w:cs="Arial"/>
          <w:i/>
          <w:iCs/>
          <w:color w:val="000000"/>
          <w:spacing w:val="4"/>
          <w:szCs w:val="24"/>
        </w:rPr>
        <w:t>. Que se aparta de lo ordinario, o que ocurre rara vez. […].</w:t>
      </w:r>
    </w:p>
    <w:p w14:paraId="137D85D7" w14:textId="77777777" w:rsidR="00E82B3F" w:rsidRPr="00F2362A" w:rsidRDefault="00E82B3F" w:rsidP="00E82B3F">
      <w:pPr>
        <w:spacing w:after="0" w:line="240" w:lineRule="auto"/>
        <w:ind w:left="567" w:right="284"/>
        <w:jc w:val="both"/>
        <w:rPr>
          <w:rFonts w:ascii="Arial" w:eastAsia="Arial Unicode MS" w:hAnsi="Arial" w:cs="Arial"/>
          <w:i/>
          <w:iCs/>
          <w:color w:val="000000"/>
          <w:spacing w:val="4"/>
          <w:szCs w:val="24"/>
        </w:rPr>
      </w:pPr>
      <w:r w:rsidRPr="00F2362A">
        <w:rPr>
          <w:rFonts w:ascii="Arial" w:eastAsia="Times New Roman" w:hAnsi="Arial" w:cs="Arial"/>
          <w:i/>
          <w:iCs/>
          <w:szCs w:val="24"/>
        </w:rPr>
        <w:t>[…</w:t>
      </w:r>
      <w:r w:rsidRPr="00F2362A">
        <w:rPr>
          <w:rFonts w:ascii="Arial" w:eastAsia="Arial Unicode MS" w:hAnsi="Arial" w:cs="Arial"/>
          <w:i/>
          <w:iCs/>
          <w:color w:val="000000"/>
          <w:spacing w:val="4"/>
          <w:szCs w:val="24"/>
        </w:rPr>
        <w:t>]</w:t>
      </w:r>
      <w:r w:rsidRPr="00F2362A">
        <w:rPr>
          <w:rFonts w:ascii="Arial" w:eastAsia="Arial Unicode MS" w:hAnsi="Arial" w:cs="Arial"/>
          <w:b/>
          <w:bCs/>
          <w:i/>
          <w:iCs/>
          <w:color w:val="000000"/>
          <w:spacing w:val="4"/>
          <w:szCs w:val="24"/>
        </w:rPr>
        <w:t>Excepción.</w:t>
      </w:r>
      <w:r w:rsidRPr="00F2362A">
        <w:rPr>
          <w:rFonts w:ascii="Arial" w:eastAsia="Arial Unicode MS" w:hAnsi="Arial" w:cs="Arial"/>
          <w:i/>
          <w:iCs/>
          <w:color w:val="000000"/>
          <w:spacing w:val="4"/>
          <w:szCs w:val="24"/>
        </w:rPr>
        <w:t xml:space="preserve"> 1. f. Acción y efecto de exceptuar. 2. f. Cosa que se aparta de la regla o condición general de las demás de su especie. […]</w:t>
      </w:r>
    </w:p>
    <w:p w14:paraId="51844E7D" w14:textId="77777777" w:rsidR="00E82B3F" w:rsidRPr="00F2362A" w:rsidRDefault="00E82B3F" w:rsidP="00E82B3F">
      <w:pPr>
        <w:spacing w:after="0" w:line="240" w:lineRule="auto"/>
        <w:ind w:left="567" w:right="284"/>
        <w:jc w:val="both"/>
        <w:rPr>
          <w:rFonts w:ascii="Arial" w:eastAsia="Arial Unicode MS" w:hAnsi="Arial" w:cs="Arial"/>
          <w:i/>
          <w:iCs/>
          <w:spacing w:val="4"/>
          <w:szCs w:val="24"/>
        </w:rPr>
      </w:pPr>
      <w:r w:rsidRPr="00F2362A">
        <w:rPr>
          <w:rStyle w:val="nacep"/>
          <w:rFonts w:ascii="Arial" w:hAnsi="Arial" w:cs="Arial"/>
          <w:bCs/>
          <w:i/>
          <w:iCs/>
          <w:szCs w:val="28"/>
          <w:shd w:val="clear" w:color="auto" w:fill="FFFFFF"/>
        </w:rPr>
        <w:t>[…]</w:t>
      </w:r>
      <w:r w:rsidRPr="00F2362A">
        <w:rPr>
          <w:rStyle w:val="nacep"/>
          <w:rFonts w:ascii="Arial" w:hAnsi="Arial" w:cs="Arial"/>
          <w:b/>
          <w:i/>
          <w:iCs/>
          <w:szCs w:val="28"/>
          <w:shd w:val="clear" w:color="auto" w:fill="FFFFFF"/>
        </w:rPr>
        <w:t>Exceptuar.</w:t>
      </w:r>
      <w:r w:rsidRPr="00F2362A">
        <w:rPr>
          <w:rStyle w:val="nacep"/>
          <w:rFonts w:ascii="Arial" w:eastAsia="Arial Unicode MS" w:hAnsi="Arial" w:cs="Arial Unicode MS" w:hint="eastAsia"/>
          <w:bCs/>
          <w:i/>
          <w:iCs/>
          <w:spacing w:val="4"/>
          <w:szCs w:val="26"/>
          <w:shd w:val="clear" w:color="auto" w:fill="FFFFFF"/>
        </w:rPr>
        <w:t>1.</w:t>
      </w:r>
      <w:r w:rsidRPr="00F2362A">
        <w:rPr>
          <w:rFonts w:ascii="Arial" w:hAnsi="Arial"/>
          <w:i/>
          <w:iCs/>
        </w:rPr>
        <w:t>tr.</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Excluir</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a</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alguien</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o</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algo</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de</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la</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generalidad</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de</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lo</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que</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se</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trata</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o</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de</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la</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regla</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común</w:t>
      </w:r>
      <w:r w:rsidRPr="00F2362A">
        <w:rPr>
          <w:rFonts w:ascii="Arial" w:eastAsia="Arial Unicode MS" w:hAnsi="Arial" w:cs="Arial Unicode MS" w:hint="eastAsia"/>
          <w:i/>
          <w:iCs/>
          <w:spacing w:val="4"/>
          <w:szCs w:val="26"/>
          <w:shd w:val="clear" w:color="auto" w:fill="FFFFFF"/>
        </w:rPr>
        <w:t>. </w:t>
      </w:r>
      <w:r w:rsidRPr="00F2362A">
        <w:rPr>
          <w:rFonts w:ascii="Arial" w:hAnsi="Arial"/>
          <w:i/>
          <w:iCs/>
        </w:rPr>
        <w:t xml:space="preserve">U. t. c. </w:t>
      </w:r>
      <w:proofErr w:type="spellStart"/>
      <w:r w:rsidRPr="00F2362A">
        <w:rPr>
          <w:rFonts w:ascii="Arial" w:hAnsi="Arial"/>
          <w:i/>
          <w:iCs/>
        </w:rPr>
        <w:t>prnl</w:t>
      </w:r>
      <w:proofErr w:type="spellEnd"/>
      <w:proofErr w:type="gramStart"/>
      <w:r w:rsidRPr="00F2362A">
        <w:rPr>
          <w:rFonts w:ascii="Arial" w:hAnsi="Arial"/>
          <w:i/>
          <w:iCs/>
        </w:rPr>
        <w:t>.[</w:t>
      </w:r>
      <w:proofErr w:type="gramEnd"/>
      <w:r w:rsidRPr="00F2362A">
        <w:rPr>
          <w:rFonts w:ascii="Arial" w:hAnsi="Arial"/>
          <w:i/>
          <w:iCs/>
        </w:rPr>
        <w:t>…]</w:t>
      </w:r>
      <w:r w:rsidRPr="00F2362A">
        <w:rPr>
          <w:rFonts w:ascii="Arial" w:eastAsia="Arial Unicode MS" w:hAnsi="Arial" w:cs="Arial"/>
          <w:i/>
          <w:iCs/>
          <w:spacing w:val="4"/>
          <w:szCs w:val="24"/>
        </w:rPr>
        <w:t xml:space="preserve"> </w:t>
      </w:r>
    </w:p>
    <w:p w14:paraId="5BC3F2E4" w14:textId="77777777" w:rsidR="00E82B3F" w:rsidRPr="00895FD9" w:rsidRDefault="00E82B3F" w:rsidP="00E82B3F">
      <w:pPr>
        <w:spacing w:before="240"/>
        <w:jc w:val="both"/>
        <w:rPr>
          <w:rFonts w:ascii="Arial" w:eastAsia="Arial Unicode MS" w:hAnsi="Arial" w:cs="Arial"/>
          <w:b/>
          <w:bCs/>
          <w:color w:val="000000"/>
          <w:spacing w:val="4"/>
          <w:sz w:val="24"/>
          <w:szCs w:val="24"/>
        </w:rPr>
      </w:pPr>
      <w:r>
        <w:rPr>
          <w:rFonts w:ascii="Arial" w:eastAsia="Arial Unicode MS" w:hAnsi="Arial" w:cs="Arial"/>
          <w:color w:val="000000"/>
          <w:spacing w:val="4"/>
          <w:sz w:val="24"/>
          <w:szCs w:val="24"/>
        </w:rPr>
        <w:tab/>
      </w:r>
      <w:r w:rsidRPr="008E37EA">
        <w:rPr>
          <w:rFonts w:ascii="Arial" w:eastAsia="Arial Unicode MS" w:hAnsi="Arial" w:cs="Arial"/>
          <w:color w:val="000000"/>
          <w:spacing w:val="4"/>
          <w:sz w:val="24"/>
          <w:szCs w:val="24"/>
        </w:rPr>
        <w:t>Significado</w:t>
      </w:r>
      <w:r>
        <w:rPr>
          <w:rFonts w:ascii="Arial" w:eastAsia="Arial Unicode MS" w:hAnsi="Arial" w:cs="Arial"/>
          <w:color w:val="000000"/>
          <w:spacing w:val="4"/>
          <w:sz w:val="24"/>
          <w:szCs w:val="24"/>
        </w:rPr>
        <w:t>s</w:t>
      </w:r>
      <w:r w:rsidRPr="008E37EA">
        <w:rPr>
          <w:rFonts w:ascii="Arial" w:eastAsia="Arial Unicode MS" w:hAnsi="Arial" w:cs="Arial"/>
          <w:color w:val="000000"/>
          <w:spacing w:val="4"/>
          <w:sz w:val="24"/>
          <w:szCs w:val="24"/>
        </w:rPr>
        <w:t xml:space="preserve"> que ignora el </w:t>
      </w:r>
      <w:r>
        <w:rPr>
          <w:rFonts w:ascii="Arial" w:eastAsia="Arial Unicode MS" w:hAnsi="Arial" w:cs="Arial"/>
          <w:color w:val="000000"/>
          <w:spacing w:val="4"/>
          <w:sz w:val="24"/>
          <w:szCs w:val="24"/>
        </w:rPr>
        <w:t>P</w:t>
      </w:r>
      <w:r w:rsidRPr="008E37EA">
        <w:rPr>
          <w:rFonts w:ascii="Arial" w:eastAsia="Arial Unicode MS" w:hAnsi="Arial" w:cs="Arial"/>
          <w:color w:val="000000"/>
          <w:spacing w:val="4"/>
          <w:sz w:val="24"/>
          <w:szCs w:val="24"/>
        </w:rPr>
        <w:t xml:space="preserve">residente de la </w:t>
      </w:r>
      <w:r>
        <w:rPr>
          <w:rFonts w:ascii="Arial" w:eastAsia="Arial Unicode MS" w:hAnsi="Arial" w:cs="Arial"/>
          <w:color w:val="000000"/>
          <w:spacing w:val="4"/>
          <w:sz w:val="24"/>
          <w:szCs w:val="24"/>
        </w:rPr>
        <w:t>R</w:t>
      </w:r>
      <w:r w:rsidRPr="008E37EA">
        <w:rPr>
          <w:rFonts w:ascii="Arial" w:eastAsia="Arial Unicode MS" w:hAnsi="Arial" w:cs="Arial"/>
          <w:color w:val="000000"/>
          <w:spacing w:val="4"/>
          <w:sz w:val="24"/>
          <w:szCs w:val="24"/>
        </w:rPr>
        <w:t>epública Andrés Manuel López Obrador y sus secretarios</w:t>
      </w:r>
      <w:r>
        <w:rPr>
          <w:rFonts w:ascii="Arial" w:eastAsia="Arial Unicode MS" w:hAnsi="Arial" w:cs="Arial"/>
          <w:color w:val="000000"/>
          <w:spacing w:val="4"/>
          <w:sz w:val="24"/>
          <w:szCs w:val="24"/>
        </w:rPr>
        <w:t xml:space="preserve">, porque en el acuerdo reclamado no se desprende excepcionalidad alguna, sino que, al contrario, amplía el plazo de autorización para las fuerzas armadas permanentes en las tareas de seguridad pública hasta que termine su sexenio, es decir, durante cinco años a partir del veintiséis de marzo del año pasado. Así, la regla general o regla común en cuanto a las tareas de las Fuerzas Armadas, consiste en que las Fuerzas Armadas sólo se dediquen a la defensa de la seguridad nacional, la excepción a esa regla sería que las Fuerzas Armadas permanentes realizaran una tarea distinta. Además, esa tarea distinta que se aparta de lo ordinario tendría que ocurrir rara vez, </w:t>
      </w:r>
      <w:r w:rsidRPr="00895FD9">
        <w:rPr>
          <w:rFonts w:ascii="Arial" w:eastAsia="Arial Unicode MS" w:hAnsi="Arial" w:cs="Arial"/>
          <w:b/>
          <w:bCs/>
          <w:color w:val="000000"/>
          <w:spacing w:val="4"/>
          <w:sz w:val="24"/>
          <w:szCs w:val="24"/>
        </w:rPr>
        <w:t>sin embargo, en el acto reclamado, el plazo que autoriza el presidente a las Fuerzas Armadas en las tareas de seguridad pública no es para rara vez, sino que por el contrario las autoriza para hacerlo de forma ordinaria durante los próximos años hasta el dos mil veinticuatro.</w:t>
      </w:r>
    </w:p>
    <w:p w14:paraId="0749FABC" w14:textId="77777777" w:rsidR="00E82B3F" w:rsidRPr="00041B75" w:rsidRDefault="00E82B3F" w:rsidP="00E82B3F">
      <w:pPr>
        <w:spacing w:after="0"/>
        <w:jc w:val="both"/>
        <w:rPr>
          <w:rFonts w:ascii="Arial" w:hAnsi="Arial" w:cs="Arial"/>
          <w:sz w:val="24"/>
          <w:szCs w:val="24"/>
        </w:rPr>
      </w:pPr>
      <w:r w:rsidRPr="00041B75">
        <w:rPr>
          <w:rFonts w:ascii="Arial" w:hAnsi="Arial" w:cs="Arial"/>
          <w:sz w:val="24"/>
          <w:szCs w:val="24"/>
        </w:rPr>
        <w:tab/>
        <w:t xml:space="preserve">Además, el decreto reclamado es contrario al Caso Cabrera García y Montiel Flores vs México toda vez que el acto reclamado no contempla como asegurarse de que las fuerzas armadas realizaran la tarea de seguridad pública con la </w:t>
      </w:r>
      <w:r w:rsidRPr="00041B75">
        <w:rPr>
          <w:rFonts w:ascii="Arial" w:hAnsi="Arial" w:cs="Arial"/>
          <w:b/>
          <w:bCs/>
          <w:i/>
          <w:iCs/>
          <w:sz w:val="24"/>
          <w:szCs w:val="24"/>
          <w:u w:val="single"/>
        </w:rPr>
        <w:t>debida diligencia en la salvaguarda de las garantías convencionales</w:t>
      </w:r>
      <w:r w:rsidRPr="00041B75">
        <w:rPr>
          <w:rFonts w:ascii="Arial" w:hAnsi="Arial" w:cs="Arial"/>
          <w:sz w:val="24"/>
          <w:szCs w:val="24"/>
        </w:rPr>
        <w:t>, esto es, las autoridades responsables fueron omisas en señalar las medidas para lograr la completa salvaguarda de las garantías convencionales</w:t>
      </w:r>
      <w:r>
        <w:rPr>
          <w:rFonts w:ascii="Arial" w:hAnsi="Arial" w:cs="Arial"/>
          <w:sz w:val="24"/>
          <w:szCs w:val="24"/>
        </w:rPr>
        <w:t xml:space="preserve"> y la seguridad personal de los mexicanos, ya que darle autorización a las Fuerzas Armadas para realizar tareas de seguridad pública</w:t>
      </w:r>
      <w:r w:rsidRPr="0024683A">
        <w:rPr>
          <w:rFonts w:ascii="Arial" w:hAnsi="Arial" w:cs="Arial"/>
          <w:sz w:val="28"/>
          <w:szCs w:val="28"/>
        </w:rPr>
        <w:t xml:space="preserve"> </w:t>
      </w:r>
      <w:r w:rsidRPr="0024683A">
        <w:rPr>
          <w:rFonts w:ascii="Arial" w:hAnsi="Arial" w:cs="Arial"/>
          <w:b/>
          <w:bCs/>
          <w:sz w:val="24"/>
          <w:szCs w:val="24"/>
          <w:u w:val="single"/>
        </w:rPr>
        <w:t>puede implicar la introducción de un riesgo para los derechos humanos</w:t>
      </w:r>
      <w:r w:rsidRPr="00041B75">
        <w:rPr>
          <w:rFonts w:ascii="Arial" w:hAnsi="Arial" w:cs="Arial"/>
          <w:sz w:val="24"/>
          <w:szCs w:val="24"/>
        </w:rPr>
        <w:t>.</w:t>
      </w:r>
      <w:r>
        <w:rPr>
          <w:rFonts w:ascii="Arial" w:hAnsi="Arial" w:cs="Arial"/>
          <w:sz w:val="24"/>
          <w:szCs w:val="24"/>
        </w:rPr>
        <w:t xml:space="preserve"> </w:t>
      </w:r>
      <w:r w:rsidRPr="00041B75">
        <w:rPr>
          <w:rFonts w:ascii="Arial" w:hAnsi="Arial" w:cs="Arial"/>
          <w:sz w:val="24"/>
          <w:szCs w:val="24"/>
        </w:rPr>
        <w:t>Sirve de apoyo a lo anterior lo establecido en la multicitada sentencia interamericana en la cual se estableció:</w:t>
      </w:r>
    </w:p>
    <w:p w14:paraId="3C24B2F9" w14:textId="77777777" w:rsidR="00E82B3F" w:rsidRPr="00041B75" w:rsidRDefault="00E82B3F" w:rsidP="00E82B3F">
      <w:pPr>
        <w:spacing w:after="0"/>
        <w:jc w:val="both"/>
        <w:rPr>
          <w:rFonts w:ascii="Arial" w:hAnsi="Arial" w:cs="Arial"/>
          <w:sz w:val="24"/>
          <w:szCs w:val="24"/>
        </w:rPr>
      </w:pPr>
    </w:p>
    <w:p w14:paraId="66F2C888" w14:textId="77777777" w:rsidR="00E82B3F" w:rsidRPr="00041B75" w:rsidRDefault="00E82B3F" w:rsidP="00E82B3F">
      <w:pPr>
        <w:spacing w:after="0" w:line="240" w:lineRule="auto"/>
        <w:ind w:left="567" w:right="284"/>
        <w:jc w:val="both"/>
        <w:rPr>
          <w:rFonts w:ascii="Arial" w:hAnsi="Arial" w:cs="Arial"/>
          <w:i/>
          <w:iCs/>
        </w:rPr>
      </w:pPr>
      <w:r w:rsidRPr="00041B75">
        <w:rPr>
          <w:rFonts w:ascii="Arial" w:hAnsi="Arial" w:cs="Arial"/>
          <w:i/>
          <w:iCs/>
        </w:rPr>
        <w:t xml:space="preserve">[…] 80. De otra parte, el Tribunal ha señalado que la seguridad también debe entenderse como la protección contra toda interferencia ilegal o arbitraria de la libertad física </w:t>
      </w:r>
      <w:proofErr w:type="gramStart"/>
      <w:r w:rsidRPr="00041B75">
        <w:rPr>
          <w:rFonts w:ascii="Arial" w:hAnsi="Arial" w:cs="Arial"/>
          <w:i/>
          <w:iCs/>
        </w:rPr>
        <w:t>101 .</w:t>
      </w:r>
      <w:proofErr w:type="gramEnd"/>
      <w:r w:rsidRPr="00041B75">
        <w:rPr>
          <w:rFonts w:ascii="Arial" w:hAnsi="Arial" w:cs="Arial"/>
          <w:i/>
          <w:iCs/>
        </w:rPr>
        <w:t xml:space="preserve"> Asimismo, con la protección de la libertad se pueden salvaguardar tanto la libertad física de los individuos como la seguridad personal, en un contexto en el que la ausencia de garantías puede resultar en la subversión de la regla de derecho y en la privación a los detenidos de las formas mínimas de protección legal </w:t>
      </w:r>
      <w:proofErr w:type="gramStart"/>
      <w:r w:rsidRPr="00041B75">
        <w:rPr>
          <w:rFonts w:ascii="Arial" w:hAnsi="Arial" w:cs="Arial"/>
          <w:i/>
          <w:iCs/>
        </w:rPr>
        <w:t>102 .</w:t>
      </w:r>
      <w:proofErr w:type="gramEnd"/>
      <w:r w:rsidRPr="00041B75">
        <w:rPr>
          <w:rFonts w:ascii="Arial" w:hAnsi="Arial" w:cs="Arial"/>
          <w:i/>
          <w:iCs/>
        </w:rPr>
        <w:t xml:space="preserve"> Por su parte, el Tribunal Europeo de Derechos Humanos ha declarado que la seguridad personal implica la protección respecto a la libertad física </w:t>
      </w:r>
      <w:proofErr w:type="gramStart"/>
      <w:r w:rsidRPr="00041B75">
        <w:rPr>
          <w:rFonts w:ascii="Arial" w:hAnsi="Arial" w:cs="Arial"/>
          <w:i/>
          <w:iCs/>
        </w:rPr>
        <w:t>103 .</w:t>
      </w:r>
      <w:proofErr w:type="gramEnd"/>
      <w:r w:rsidRPr="00041B75">
        <w:rPr>
          <w:rFonts w:ascii="Arial" w:hAnsi="Arial" w:cs="Arial"/>
          <w:i/>
          <w:iCs/>
        </w:rPr>
        <w:t xml:space="preserve"> A su vez, el Comité de Derechos Humanos de las Naciones Unidas ha señalado que el derecho a la seguridad no puede interpretarse en forma restringida, lo cual implica que no pueden ignorarse las amenazas a la seguridad de personas no detenidas o presas </w:t>
      </w:r>
      <w:proofErr w:type="gramStart"/>
      <w:r w:rsidRPr="00041B75">
        <w:rPr>
          <w:rFonts w:ascii="Arial" w:hAnsi="Arial" w:cs="Arial"/>
          <w:i/>
          <w:iCs/>
        </w:rPr>
        <w:t>104 .</w:t>
      </w:r>
      <w:proofErr w:type="gramEnd"/>
      <w:r w:rsidRPr="00041B75">
        <w:rPr>
          <w:rFonts w:ascii="Arial" w:hAnsi="Arial" w:cs="Arial"/>
          <w:i/>
          <w:iCs/>
        </w:rPr>
        <w:t xml:space="preserve"> […]</w:t>
      </w:r>
    </w:p>
    <w:p w14:paraId="0B03ED97" w14:textId="77777777" w:rsidR="00E82B3F" w:rsidRPr="00041B75" w:rsidRDefault="00E82B3F" w:rsidP="00E82B3F">
      <w:pPr>
        <w:spacing w:after="0" w:line="240" w:lineRule="auto"/>
        <w:jc w:val="both"/>
        <w:rPr>
          <w:rFonts w:ascii="Arial" w:hAnsi="Arial" w:cs="Arial"/>
          <w:sz w:val="24"/>
          <w:szCs w:val="24"/>
        </w:rPr>
      </w:pPr>
    </w:p>
    <w:p w14:paraId="30BE67B6" w14:textId="79DB48E5" w:rsidR="00E82B3F" w:rsidRPr="006507B1" w:rsidRDefault="00E82B3F" w:rsidP="00E82B3F">
      <w:pPr>
        <w:spacing w:after="0"/>
        <w:jc w:val="both"/>
        <w:rPr>
          <w:rFonts w:ascii="Arial" w:hAnsi="Arial" w:cs="Arial"/>
          <w:i/>
          <w:iCs/>
        </w:rPr>
      </w:pPr>
      <w:r>
        <w:rPr>
          <w:rFonts w:ascii="Arial" w:hAnsi="Arial" w:cs="Arial"/>
          <w:sz w:val="24"/>
          <w:szCs w:val="24"/>
        </w:rPr>
        <w:tab/>
      </w:r>
      <w:r w:rsidR="00540C7A">
        <w:rPr>
          <w:rFonts w:ascii="Arial" w:hAnsi="Arial" w:cs="Arial"/>
          <w:sz w:val="24"/>
          <w:szCs w:val="24"/>
        </w:rPr>
        <w:t>Las normas generales reclamadas</w:t>
      </w:r>
      <w:r w:rsidRPr="00041B75">
        <w:rPr>
          <w:rFonts w:ascii="Arial" w:hAnsi="Arial" w:cs="Arial"/>
          <w:sz w:val="24"/>
          <w:szCs w:val="24"/>
        </w:rPr>
        <w:t xml:space="preserve"> en esta demanda de amparo también </w:t>
      </w:r>
      <w:r>
        <w:rPr>
          <w:rFonts w:ascii="Arial" w:hAnsi="Arial" w:cs="Arial"/>
          <w:sz w:val="24"/>
          <w:szCs w:val="24"/>
        </w:rPr>
        <w:t>transgrede</w:t>
      </w:r>
      <w:r w:rsidRPr="00041B75">
        <w:rPr>
          <w:rFonts w:ascii="Arial" w:hAnsi="Arial" w:cs="Arial"/>
          <w:sz w:val="24"/>
          <w:szCs w:val="24"/>
        </w:rPr>
        <w:t xml:space="preserve"> la sentencia que resuelve el caso Cabrera García y Montiel Flores vs México en la siguiente parte: </w:t>
      </w:r>
      <w:r>
        <w:rPr>
          <w:rFonts w:ascii="Arial" w:hAnsi="Arial" w:cs="Arial"/>
          <w:i/>
          <w:iCs/>
        </w:rPr>
        <w:t xml:space="preserve">[…] </w:t>
      </w:r>
      <w:r w:rsidRPr="006507B1">
        <w:rPr>
          <w:rFonts w:ascii="Arial" w:hAnsi="Arial" w:cs="Arial"/>
          <w:i/>
          <w:iCs/>
        </w:rPr>
        <w:t>SEGUNDO. La Fuerza Armada permanente, en el apoyo en el desempeño de las tareas de seguridad pública a que se refiere el presente Acuerdo, realizará las funciones que se le asignen conforme a las atribuciones que prevén las fracciones I, II, IX, X, XIII, XIV, XV, XVI, XXV, XXVII, XXVIII y XXXIV del artículo 9 de la Ley de la Guardia Nacional.  […]</w:t>
      </w:r>
    </w:p>
    <w:p w14:paraId="139D9141" w14:textId="77777777" w:rsidR="00E82B3F" w:rsidRPr="00614D1F" w:rsidRDefault="00E82B3F" w:rsidP="00E82B3F">
      <w:pPr>
        <w:spacing w:after="0" w:line="240" w:lineRule="auto"/>
        <w:ind w:left="567" w:right="284"/>
        <w:jc w:val="both"/>
        <w:rPr>
          <w:rFonts w:ascii="Arial" w:hAnsi="Arial" w:cs="Arial"/>
          <w:i/>
          <w:iCs/>
        </w:rPr>
      </w:pPr>
    </w:p>
    <w:p w14:paraId="1EDA1FD1" w14:textId="77777777" w:rsidR="00E82B3F" w:rsidRPr="00AC021E" w:rsidRDefault="00E82B3F" w:rsidP="00E82B3F">
      <w:pPr>
        <w:spacing w:after="0"/>
        <w:jc w:val="both"/>
        <w:rPr>
          <w:rFonts w:ascii="Arial" w:hAnsi="Arial" w:cs="Arial"/>
          <w:sz w:val="28"/>
          <w:szCs w:val="28"/>
        </w:rPr>
      </w:pPr>
      <w:r>
        <w:rPr>
          <w:rFonts w:ascii="Arial" w:hAnsi="Arial" w:cs="Arial"/>
        </w:rPr>
        <w:tab/>
      </w:r>
      <w:r w:rsidRPr="001E4E55">
        <w:rPr>
          <w:rFonts w:ascii="Arial" w:hAnsi="Arial" w:cs="Arial"/>
          <w:sz w:val="24"/>
          <w:szCs w:val="24"/>
        </w:rPr>
        <w:t>En razón de que</w:t>
      </w:r>
      <w:r>
        <w:rPr>
          <w:rFonts w:ascii="Arial" w:hAnsi="Arial" w:cs="Arial"/>
          <w:sz w:val="24"/>
          <w:szCs w:val="24"/>
        </w:rPr>
        <w:t>, faculta a las Fuerzas Armadas para realizar varias conductas como son: Prevenir la comisión de faltas administrativas y de delitos en el territorio nacional incluyendo zonas turísticas y carreteras federales, realizar detenciones de personas y el aseguramiento de bienes, efectuar detenciones así como preservar el lugar de los hechos y hasta después dar aviso al ministerio público, colaborar con las autoridades locales y municipales en la prevención de delitos, entre otras que contienen el artículo 9</w:t>
      </w:r>
      <w:r>
        <w:rPr>
          <w:rStyle w:val="Refdenotaalpie"/>
          <w:rFonts w:ascii="Arial" w:hAnsi="Arial" w:cs="Arial"/>
          <w:i/>
          <w:iCs/>
        </w:rPr>
        <w:footnoteReference w:id="60"/>
      </w:r>
      <w:r>
        <w:rPr>
          <w:rFonts w:ascii="Arial" w:hAnsi="Arial" w:cs="Arial"/>
          <w:sz w:val="24"/>
          <w:szCs w:val="24"/>
        </w:rPr>
        <w:t xml:space="preserve"> de la Ley de la Guardia Nacional en las fracciones que señala el acuerdo </w:t>
      </w:r>
      <w:r>
        <w:rPr>
          <w:rFonts w:ascii="Arial" w:hAnsi="Arial" w:cs="Arial"/>
          <w:sz w:val="24"/>
          <w:szCs w:val="24"/>
        </w:rPr>
        <w:lastRenderedPageBreak/>
        <w:t xml:space="preserve">reclamado en este juicio de amparo. Atribuciones conferidas a las Fuerzas Armadas permanentes, mediante el decreto que se reclama, las cuales resultan contrarias a la sentencia convencional, en razón de que en dicha sentencia se mencionó que: </w:t>
      </w:r>
      <w:r w:rsidRPr="00AC021E">
        <w:rPr>
          <w:rFonts w:ascii="Arial" w:hAnsi="Arial" w:cs="Arial"/>
          <w:b/>
          <w:bCs/>
          <w:sz w:val="24"/>
          <w:szCs w:val="24"/>
        </w:rPr>
        <w:t>los Estados deben limitar al máximo el uso de las Fuerzas Armadas para el control de la criminalidad común o violencia interna, puesto que el entrenamiento que reciben está dirigido a derrotar un objetivo legítimo, y no a la protección y control de civiles, entrenamiento que es propio de los entes policiales.</w:t>
      </w:r>
    </w:p>
    <w:p w14:paraId="3103470E" w14:textId="77777777" w:rsidR="00E82B3F" w:rsidRDefault="00E82B3F" w:rsidP="00E82B3F">
      <w:pPr>
        <w:spacing w:after="0"/>
        <w:jc w:val="both"/>
        <w:rPr>
          <w:rFonts w:ascii="Arial" w:hAnsi="Arial" w:cs="Arial"/>
          <w:sz w:val="24"/>
          <w:szCs w:val="24"/>
        </w:rPr>
      </w:pPr>
    </w:p>
    <w:p w14:paraId="65C9AB6A" w14:textId="77777777" w:rsidR="00E82B3F" w:rsidRDefault="00E82B3F" w:rsidP="00E82B3F">
      <w:pPr>
        <w:spacing w:after="0"/>
        <w:jc w:val="both"/>
        <w:rPr>
          <w:rFonts w:ascii="Arial" w:hAnsi="Arial" w:cs="Arial"/>
          <w:i/>
          <w:iCs/>
        </w:rPr>
      </w:pPr>
      <w:r>
        <w:rPr>
          <w:rFonts w:ascii="Arial" w:hAnsi="Arial" w:cs="Arial"/>
        </w:rPr>
        <w:tab/>
      </w:r>
      <w:r w:rsidRPr="003C7D35">
        <w:rPr>
          <w:rFonts w:ascii="Arial" w:hAnsi="Arial" w:cs="Arial"/>
          <w:sz w:val="24"/>
          <w:szCs w:val="24"/>
        </w:rPr>
        <w:t xml:space="preserve">También resulta contrario a la sentencia de la Corte Interamericana el siguiente párrafo: </w:t>
      </w:r>
      <w:r w:rsidRPr="001E4E55">
        <w:rPr>
          <w:rFonts w:ascii="Arial" w:hAnsi="Arial" w:cs="Arial"/>
          <w:i/>
          <w:iCs/>
        </w:rPr>
        <w:t xml:space="preserve">[…] </w:t>
      </w:r>
      <w:r w:rsidRPr="006507B1">
        <w:rPr>
          <w:rFonts w:ascii="Arial" w:hAnsi="Arial" w:cs="Arial"/>
          <w:i/>
          <w:iCs/>
        </w:rPr>
        <w:t xml:space="preserve">TERCERO. En el apoyo en el desempeño de las tareas de seguridad pública, la Fuerza Armada permanente se regirá en todo momento por la estricta observancia y respeto a los derechos humanos, en términos del artículo 1o. de la Constitución Política de los Estados Unidos Mexicanos y observará la Ley Nacional Sobre el Uso de la Fuerza y demás ordenamientos en la materia. </w:t>
      </w:r>
      <w:r>
        <w:rPr>
          <w:rFonts w:ascii="Arial" w:hAnsi="Arial" w:cs="Arial"/>
          <w:i/>
          <w:iCs/>
        </w:rPr>
        <w:t>[…]</w:t>
      </w:r>
    </w:p>
    <w:p w14:paraId="04C1FEB8" w14:textId="77777777" w:rsidR="00E82B3F" w:rsidRPr="00A95230" w:rsidRDefault="00E82B3F" w:rsidP="00E82B3F">
      <w:pPr>
        <w:spacing w:after="0" w:line="240" w:lineRule="auto"/>
        <w:jc w:val="both"/>
        <w:rPr>
          <w:rFonts w:ascii="Arial" w:hAnsi="Arial" w:cs="Arial"/>
        </w:rPr>
      </w:pPr>
      <w:r w:rsidRPr="00A95230">
        <w:rPr>
          <w:rFonts w:ascii="Arial" w:hAnsi="Arial" w:cs="Arial"/>
        </w:rPr>
        <w:tab/>
      </w:r>
    </w:p>
    <w:p w14:paraId="215579F7" w14:textId="77777777" w:rsidR="00E82B3F" w:rsidRPr="00A95230" w:rsidRDefault="00E82B3F" w:rsidP="00E82B3F">
      <w:pPr>
        <w:spacing w:after="0"/>
        <w:jc w:val="both"/>
        <w:rPr>
          <w:rFonts w:ascii="Arial" w:hAnsi="Arial" w:cs="Arial"/>
          <w:sz w:val="24"/>
          <w:szCs w:val="24"/>
        </w:rPr>
      </w:pPr>
      <w:r>
        <w:rPr>
          <w:rFonts w:ascii="Arial" w:hAnsi="Arial" w:cs="Arial"/>
          <w:sz w:val="24"/>
          <w:szCs w:val="24"/>
        </w:rPr>
        <w:tab/>
        <w:t xml:space="preserve">Así, en esa parte del acuerdo es </w:t>
      </w:r>
      <w:proofErr w:type="spellStart"/>
      <w:r>
        <w:rPr>
          <w:rFonts w:ascii="Arial" w:hAnsi="Arial" w:cs="Arial"/>
          <w:sz w:val="24"/>
          <w:szCs w:val="24"/>
        </w:rPr>
        <w:t>inconvencional</w:t>
      </w:r>
      <w:proofErr w:type="spellEnd"/>
      <w:r>
        <w:rPr>
          <w:rFonts w:ascii="Arial" w:hAnsi="Arial" w:cs="Arial"/>
          <w:sz w:val="24"/>
          <w:szCs w:val="24"/>
        </w:rPr>
        <w:t>, porque e</w:t>
      </w:r>
      <w:r w:rsidRPr="00A95230">
        <w:rPr>
          <w:rFonts w:ascii="Arial" w:hAnsi="Arial" w:cs="Arial"/>
          <w:sz w:val="24"/>
          <w:szCs w:val="24"/>
        </w:rPr>
        <w:t xml:space="preserve">l </w:t>
      </w:r>
      <w:proofErr w:type="gramStart"/>
      <w:r w:rsidRPr="00A95230">
        <w:rPr>
          <w:rFonts w:ascii="Arial" w:hAnsi="Arial" w:cs="Arial"/>
          <w:sz w:val="24"/>
          <w:szCs w:val="24"/>
        </w:rPr>
        <w:t>Ejercito</w:t>
      </w:r>
      <w:proofErr w:type="gramEnd"/>
      <w:r w:rsidRPr="00A95230">
        <w:rPr>
          <w:rFonts w:ascii="Arial" w:hAnsi="Arial" w:cs="Arial"/>
          <w:sz w:val="24"/>
          <w:szCs w:val="24"/>
        </w:rPr>
        <w:t xml:space="preserve"> difícilmente se encuentra entrenado para aplicar prude</w:t>
      </w:r>
      <w:r>
        <w:rPr>
          <w:rFonts w:ascii="Arial" w:hAnsi="Arial" w:cs="Arial"/>
          <w:sz w:val="24"/>
          <w:szCs w:val="24"/>
        </w:rPr>
        <w:t>nte y adecuadamente</w:t>
      </w:r>
      <w:r w:rsidRPr="00A95230">
        <w:rPr>
          <w:rFonts w:ascii="Arial" w:hAnsi="Arial" w:cs="Arial"/>
          <w:sz w:val="24"/>
          <w:szCs w:val="24"/>
        </w:rPr>
        <w:t xml:space="preserve"> el uso de la fuerza, </w:t>
      </w:r>
      <w:r>
        <w:rPr>
          <w:rFonts w:ascii="Arial" w:hAnsi="Arial" w:cs="Arial"/>
          <w:sz w:val="24"/>
          <w:szCs w:val="24"/>
        </w:rPr>
        <w:t>lo cual podemos advertir del</w:t>
      </w:r>
      <w:r w:rsidRPr="00A95230">
        <w:rPr>
          <w:rFonts w:ascii="Arial" w:hAnsi="Arial" w:cs="Arial"/>
          <w:sz w:val="24"/>
          <w:szCs w:val="24"/>
        </w:rPr>
        <w:t xml:space="preserve"> caso Cabrera y Montiel vs México</w:t>
      </w:r>
      <w:r>
        <w:rPr>
          <w:rFonts w:ascii="Arial" w:hAnsi="Arial" w:cs="Arial"/>
          <w:sz w:val="24"/>
          <w:szCs w:val="24"/>
        </w:rPr>
        <w:t>, en el que</w:t>
      </w:r>
      <w:r w:rsidRPr="00A95230">
        <w:rPr>
          <w:rFonts w:ascii="Arial" w:hAnsi="Arial" w:cs="Arial"/>
          <w:sz w:val="24"/>
          <w:szCs w:val="24"/>
        </w:rPr>
        <w:t xml:space="preserve"> se refleja la imprudencia y arbitrariedad de los militares en el uso de la fuerza:</w:t>
      </w:r>
    </w:p>
    <w:p w14:paraId="6734B725" w14:textId="77777777" w:rsidR="00E82B3F" w:rsidRDefault="00E82B3F" w:rsidP="00E82B3F">
      <w:pPr>
        <w:spacing w:after="0" w:line="240" w:lineRule="auto"/>
        <w:ind w:left="567" w:right="284"/>
        <w:jc w:val="both"/>
        <w:rPr>
          <w:rFonts w:ascii="Arial" w:hAnsi="Arial" w:cs="Arial"/>
          <w:i/>
          <w:iCs/>
          <w:sz w:val="20"/>
          <w:szCs w:val="20"/>
        </w:rPr>
      </w:pPr>
    </w:p>
    <w:p w14:paraId="6C62EC0B" w14:textId="77777777" w:rsidR="00E82B3F" w:rsidRPr="00597A69" w:rsidRDefault="00E82B3F" w:rsidP="00E82B3F">
      <w:pPr>
        <w:spacing w:after="0" w:line="240" w:lineRule="auto"/>
        <w:ind w:left="567" w:right="284"/>
        <w:jc w:val="both"/>
        <w:rPr>
          <w:rFonts w:ascii="Arial" w:hAnsi="Arial" w:cs="Arial"/>
          <w:i/>
          <w:iCs/>
          <w:sz w:val="20"/>
          <w:szCs w:val="20"/>
        </w:rPr>
      </w:pPr>
      <w:r w:rsidRPr="00597A69">
        <w:rPr>
          <w:rFonts w:ascii="Arial" w:hAnsi="Arial" w:cs="Arial"/>
          <w:i/>
          <w:iCs/>
          <w:sz w:val="20"/>
          <w:szCs w:val="20"/>
        </w:rPr>
        <w:t xml:space="preserve">[…] 83. En el caso concreto, la Corte observa que en el operativo militar en la localidad de </w:t>
      </w:r>
      <w:proofErr w:type="spellStart"/>
      <w:r w:rsidRPr="00597A69">
        <w:rPr>
          <w:rFonts w:ascii="Arial" w:hAnsi="Arial" w:cs="Arial"/>
          <w:i/>
          <w:iCs/>
          <w:sz w:val="20"/>
          <w:szCs w:val="20"/>
        </w:rPr>
        <w:t>Pizotla</w:t>
      </w:r>
      <w:proofErr w:type="spellEnd"/>
      <w:r w:rsidRPr="00597A69">
        <w:rPr>
          <w:rFonts w:ascii="Arial" w:hAnsi="Arial" w:cs="Arial"/>
          <w:i/>
          <w:iCs/>
          <w:sz w:val="20"/>
          <w:szCs w:val="20"/>
        </w:rPr>
        <w:t xml:space="preserve"> realizado el 2 de mayo de 1999, en forma previa a la detención de los señores Cabrera y Montiel, el grupo militar que intervino estuvo constituido por 43 elementos de tropa </w:t>
      </w:r>
      <w:proofErr w:type="gramStart"/>
      <w:r w:rsidRPr="00597A69">
        <w:rPr>
          <w:rFonts w:ascii="Arial" w:hAnsi="Arial" w:cs="Arial"/>
          <w:i/>
          <w:iCs/>
          <w:sz w:val="20"/>
          <w:szCs w:val="20"/>
        </w:rPr>
        <w:t>110 .</w:t>
      </w:r>
      <w:proofErr w:type="gramEnd"/>
      <w:r w:rsidRPr="00597A69">
        <w:rPr>
          <w:rFonts w:ascii="Arial" w:hAnsi="Arial" w:cs="Arial"/>
          <w:i/>
          <w:iCs/>
          <w:sz w:val="20"/>
          <w:szCs w:val="20"/>
        </w:rPr>
        <w:t xml:space="preserve"> Al respecto, la CNDH constató que esta comisión militar se trasladó a dicha localidad con la finalidad de verificar una información referida a una "gavilla" (supra párr. 67). La CNDH consideró acreditado que "el poblado […] fue sitiado", "se </w:t>
      </w:r>
      <w:proofErr w:type="spellStart"/>
      <w:proofErr w:type="gramStart"/>
      <w:r w:rsidRPr="00597A69">
        <w:rPr>
          <w:rFonts w:ascii="Arial" w:hAnsi="Arial" w:cs="Arial"/>
          <w:i/>
          <w:iCs/>
          <w:sz w:val="20"/>
          <w:szCs w:val="20"/>
        </w:rPr>
        <w:t>manten</w:t>
      </w:r>
      <w:proofErr w:type="spellEnd"/>
      <w:r w:rsidRPr="00597A69">
        <w:rPr>
          <w:rFonts w:ascii="Arial" w:hAnsi="Arial" w:cs="Arial"/>
          <w:i/>
          <w:iCs/>
          <w:sz w:val="20"/>
          <w:szCs w:val="20"/>
        </w:rPr>
        <w:t>[</w:t>
      </w:r>
      <w:proofErr w:type="spellStart"/>
      <w:proofErr w:type="gramEnd"/>
      <w:r w:rsidRPr="00597A69">
        <w:rPr>
          <w:rFonts w:ascii="Arial" w:hAnsi="Arial" w:cs="Arial"/>
          <w:i/>
          <w:iCs/>
          <w:sz w:val="20"/>
          <w:szCs w:val="20"/>
        </w:rPr>
        <w:t>ía</w:t>
      </w:r>
      <w:proofErr w:type="spellEnd"/>
      <w:r w:rsidRPr="00597A69">
        <w:rPr>
          <w:rFonts w:ascii="Arial" w:hAnsi="Arial" w:cs="Arial"/>
          <w:i/>
          <w:iCs/>
          <w:sz w:val="20"/>
          <w:szCs w:val="20"/>
        </w:rPr>
        <w:t xml:space="preserve">] en vigilancia" y que "personal militar […] </w:t>
      </w:r>
      <w:proofErr w:type="spellStart"/>
      <w:r w:rsidRPr="00597A69">
        <w:rPr>
          <w:rFonts w:ascii="Arial" w:hAnsi="Arial" w:cs="Arial"/>
          <w:i/>
          <w:iCs/>
          <w:sz w:val="20"/>
          <w:szCs w:val="20"/>
        </w:rPr>
        <w:t>efectu</w:t>
      </w:r>
      <w:proofErr w:type="spellEnd"/>
      <w:r w:rsidRPr="00597A69">
        <w:rPr>
          <w:rFonts w:ascii="Arial" w:hAnsi="Arial" w:cs="Arial"/>
          <w:i/>
          <w:iCs/>
          <w:sz w:val="20"/>
          <w:szCs w:val="20"/>
        </w:rPr>
        <w:t>[</w:t>
      </w:r>
      <w:proofErr w:type="spellStart"/>
      <w:r w:rsidRPr="00597A69">
        <w:rPr>
          <w:rFonts w:ascii="Arial" w:hAnsi="Arial" w:cs="Arial"/>
          <w:i/>
          <w:iCs/>
          <w:sz w:val="20"/>
          <w:szCs w:val="20"/>
        </w:rPr>
        <w:t>ó</w:t>
      </w:r>
      <w:proofErr w:type="spellEnd"/>
      <w:r w:rsidRPr="00597A69">
        <w:rPr>
          <w:rFonts w:ascii="Arial" w:hAnsi="Arial" w:cs="Arial"/>
          <w:i/>
          <w:iCs/>
          <w:sz w:val="20"/>
          <w:szCs w:val="20"/>
        </w:rPr>
        <w:t xml:space="preserve">] disparos de arma de fuego, atemorizando a la población civil de la comunidad de </w:t>
      </w:r>
      <w:proofErr w:type="spellStart"/>
      <w:r w:rsidRPr="00597A69">
        <w:rPr>
          <w:rFonts w:ascii="Arial" w:hAnsi="Arial" w:cs="Arial"/>
          <w:i/>
          <w:iCs/>
          <w:sz w:val="20"/>
          <w:szCs w:val="20"/>
        </w:rPr>
        <w:t>Pizotla</w:t>
      </w:r>
      <w:proofErr w:type="spellEnd"/>
      <w:r w:rsidRPr="00597A69">
        <w:rPr>
          <w:rFonts w:ascii="Arial" w:hAnsi="Arial" w:cs="Arial"/>
          <w:i/>
          <w:iCs/>
          <w:sz w:val="20"/>
          <w:szCs w:val="20"/>
        </w:rPr>
        <w:t>[,] además de haber tratado con violencia a las mujeres y niños, manteniendo incomunicada durante dos días la citada comunidad" 111 . La CNDH estableció que "la conducta desplegada [por los militares] encargados de dirigir, supervisar y autorizar el citado operativo, lesionaron los [d]</w:t>
      </w:r>
      <w:proofErr w:type="spellStart"/>
      <w:r w:rsidRPr="00597A69">
        <w:rPr>
          <w:rFonts w:ascii="Arial" w:hAnsi="Arial" w:cs="Arial"/>
          <w:i/>
          <w:iCs/>
          <w:sz w:val="20"/>
          <w:szCs w:val="20"/>
        </w:rPr>
        <w:t>erechos</w:t>
      </w:r>
      <w:proofErr w:type="spellEnd"/>
      <w:r w:rsidRPr="00597A69">
        <w:rPr>
          <w:rFonts w:ascii="Arial" w:hAnsi="Arial" w:cs="Arial"/>
          <w:i/>
          <w:iCs/>
          <w:sz w:val="20"/>
          <w:szCs w:val="20"/>
        </w:rPr>
        <w:t xml:space="preserve"> [h]</w:t>
      </w:r>
      <w:proofErr w:type="spellStart"/>
      <w:r w:rsidRPr="00597A69">
        <w:rPr>
          <w:rFonts w:ascii="Arial" w:hAnsi="Arial" w:cs="Arial"/>
          <w:i/>
          <w:iCs/>
          <w:sz w:val="20"/>
          <w:szCs w:val="20"/>
        </w:rPr>
        <w:t>umanos</w:t>
      </w:r>
      <w:proofErr w:type="spellEnd"/>
      <w:r w:rsidRPr="00597A69">
        <w:rPr>
          <w:rFonts w:ascii="Arial" w:hAnsi="Arial" w:cs="Arial"/>
          <w:i/>
          <w:iCs/>
          <w:sz w:val="20"/>
          <w:szCs w:val="20"/>
        </w:rPr>
        <w:t xml:space="preserve"> de los habitantes de la comunidad […] al impedirles, e incluso limitarles […] ejercer su [d]</w:t>
      </w:r>
      <w:proofErr w:type="spellStart"/>
      <w:r w:rsidRPr="00597A69">
        <w:rPr>
          <w:rFonts w:ascii="Arial" w:hAnsi="Arial" w:cs="Arial"/>
          <w:i/>
          <w:iCs/>
          <w:sz w:val="20"/>
          <w:szCs w:val="20"/>
        </w:rPr>
        <w:t>erecho</w:t>
      </w:r>
      <w:proofErr w:type="spellEnd"/>
      <w:r w:rsidRPr="00597A69">
        <w:rPr>
          <w:rFonts w:ascii="Arial" w:hAnsi="Arial" w:cs="Arial"/>
          <w:i/>
          <w:iCs/>
          <w:sz w:val="20"/>
          <w:szCs w:val="20"/>
        </w:rPr>
        <w:t xml:space="preserve"> a la [l]</w:t>
      </w:r>
      <w:proofErr w:type="spellStart"/>
      <w:r w:rsidRPr="00597A69">
        <w:rPr>
          <w:rFonts w:ascii="Arial" w:hAnsi="Arial" w:cs="Arial"/>
          <w:i/>
          <w:iCs/>
          <w:sz w:val="20"/>
          <w:szCs w:val="20"/>
        </w:rPr>
        <w:t>ibertad</w:t>
      </w:r>
      <w:proofErr w:type="spellEnd"/>
      <w:r w:rsidRPr="00597A69">
        <w:rPr>
          <w:rFonts w:ascii="Arial" w:hAnsi="Arial" w:cs="Arial"/>
          <w:i/>
          <w:iCs/>
          <w:sz w:val="20"/>
          <w:szCs w:val="20"/>
        </w:rPr>
        <w:t xml:space="preserve"> de [t]</w:t>
      </w:r>
      <w:proofErr w:type="spellStart"/>
      <w:r w:rsidRPr="00597A69">
        <w:rPr>
          <w:rFonts w:ascii="Arial" w:hAnsi="Arial" w:cs="Arial"/>
          <w:i/>
          <w:iCs/>
          <w:sz w:val="20"/>
          <w:szCs w:val="20"/>
        </w:rPr>
        <w:t>ránsito</w:t>
      </w:r>
      <w:proofErr w:type="spellEnd"/>
      <w:r w:rsidRPr="00597A69">
        <w:rPr>
          <w:rFonts w:ascii="Arial" w:hAnsi="Arial" w:cs="Arial"/>
          <w:i/>
          <w:iCs/>
          <w:sz w:val="20"/>
          <w:szCs w:val="20"/>
        </w:rPr>
        <w:t xml:space="preserve">" </w:t>
      </w:r>
      <w:proofErr w:type="gramStart"/>
      <w:r w:rsidRPr="00597A69">
        <w:rPr>
          <w:rFonts w:ascii="Arial" w:hAnsi="Arial" w:cs="Arial"/>
          <w:i/>
          <w:iCs/>
          <w:sz w:val="20"/>
          <w:szCs w:val="20"/>
        </w:rPr>
        <w:t>112 .</w:t>
      </w:r>
      <w:proofErr w:type="gramEnd"/>
      <w:r w:rsidRPr="00597A69">
        <w:rPr>
          <w:rFonts w:ascii="Arial" w:hAnsi="Arial" w:cs="Arial"/>
          <w:i/>
          <w:iCs/>
          <w:sz w:val="20"/>
          <w:szCs w:val="20"/>
        </w:rPr>
        <w:t xml:space="preserve"> </w:t>
      </w:r>
      <w:r w:rsidRPr="001E4E55">
        <w:rPr>
          <w:rFonts w:ascii="Arial" w:hAnsi="Arial" w:cs="Arial"/>
          <w:i/>
          <w:iCs/>
          <w:sz w:val="18"/>
          <w:szCs w:val="18"/>
        </w:rPr>
        <w:t>110 Cfr. CNDH. Recomendación No. 8/2000 de 14 de julio de 2000, supra nota 89, folio 8440. 111 Cfr. CNDH. Recomendación No. 8/2000 de 14 de julio de 2000, supra nota 89, folios 8181 a 8367. 112 Cfr. CNDH. Recomendación No. 8/2000 de 14 de julio de 2000, supra nota 89, folios 8181 a 8367</w:t>
      </w:r>
      <w:proofErr w:type="gramStart"/>
      <w:r w:rsidRPr="00597A69">
        <w:rPr>
          <w:rFonts w:ascii="Arial" w:hAnsi="Arial" w:cs="Arial"/>
          <w:i/>
          <w:iCs/>
          <w:sz w:val="20"/>
          <w:szCs w:val="20"/>
        </w:rPr>
        <w:t>.[</w:t>
      </w:r>
      <w:proofErr w:type="gramEnd"/>
      <w:r w:rsidRPr="00597A69">
        <w:rPr>
          <w:rFonts w:ascii="Arial" w:hAnsi="Arial" w:cs="Arial"/>
          <w:i/>
          <w:iCs/>
          <w:sz w:val="20"/>
          <w:szCs w:val="20"/>
        </w:rPr>
        <w:t>…]</w:t>
      </w:r>
    </w:p>
    <w:p w14:paraId="2A064787" w14:textId="77777777" w:rsidR="00E82B3F" w:rsidRPr="00597A69" w:rsidRDefault="00E82B3F" w:rsidP="00E82B3F">
      <w:pPr>
        <w:spacing w:after="0" w:line="240" w:lineRule="auto"/>
        <w:ind w:left="567" w:right="284"/>
        <w:jc w:val="both"/>
        <w:rPr>
          <w:rFonts w:ascii="Arial" w:hAnsi="Arial" w:cs="Arial"/>
          <w:i/>
          <w:iCs/>
          <w:sz w:val="20"/>
          <w:szCs w:val="20"/>
        </w:rPr>
      </w:pPr>
    </w:p>
    <w:p w14:paraId="4DF2BE50" w14:textId="77777777" w:rsidR="00E82B3F" w:rsidRDefault="00E82B3F" w:rsidP="00E82B3F">
      <w:pPr>
        <w:spacing w:after="0" w:line="240" w:lineRule="auto"/>
        <w:ind w:left="567" w:right="284"/>
        <w:jc w:val="both"/>
        <w:rPr>
          <w:rFonts w:ascii="Arial" w:hAnsi="Arial" w:cs="Arial"/>
          <w:i/>
          <w:iCs/>
          <w:sz w:val="20"/>
          <w:szCs w:val="20"/>
        </w:rPr>
      </w:pPr>
      <w:r w:rsidRPr="00597A69">
        <w:rPr>
          <w:rFonts w:ascii="Arial" w:hAnsi="Arial" w:cs="Arial"/>
          <w:i/>
          <w:iCs/>
          <w:sz w:val="20"/>
          <w:szCs w:val="20"/>
        </w:rPr>
        <w:t xml:space="preserve">[…] El 13 de julio de 1999, en la ampliación a sus declaraciones preparatorias el señor Cabrera García manifestó que: "en el Ministerio Público, [le] pusieron la pistola en la cabeza, [diciéndole] que si no firmaba [se la] iban a volar […] y por eso firmó". Por su parte, el señor Montiel Flores indicó: "que los militares, a [él le] </w:t>
      </w:r>
      <w:proofErr w:type="gramStart"/>
      <w:r w:rsidRPr="00597A69">
        <w:rPr>
          <w:rFonts w:ascii="Arial" w:hAnsi="Arial" w:cs="Arial"/>
          <w:i/>
          <w:iCs/>
          <w:sz w:val="20"/>
          <w:szCs w:val="20"/>
        </w:rPr>
        <w:t>p[</w:t>
      </w:r>
      <w:proofErr w:type="spellStart"/>
      <w:proofErr w:type="gramEnd"/>
      <w:r w:rsidRPr="00597A69">
        <w:rPr>
          <w:rFonts w:ascii="Arial" w:hAnsi="Arial" w:cs="Arial"/>
          <w:i/>
          <w:iCs/>
          <w:sz w:val="20"/>
          <w:szCs w:val="20"/>
        </w:rPr>
        <w:t>usieron</w:t>
      </w:r>
      <w:proofErr w:type="spellEnd"/>
      <w:r w:rsidRPr="00597A69">
        <w:rPr>
          <w:rFonts w:ascii="Arial" w:hAnsi="Arial" w:cs="Arial"/>
          <w:i/>
          <w:iCs/>
          <w:sz w:val="20"/>
          <w:szCs w:val="20"/>
        </w:rPr>
        <w:t xml:space="preserve">] uno de los militares un rifle en la cabeza […] y también [un] pie [sobre ésta], y [le] dijo que si algo les pasaba [le] iba a volar la cabeza a chingada[z]os". Asimismo, "que el día lunes [3] de mayo [le llevaron] de comer y [se] </w:t>
      </w:r>
      <w:proofErr w:type="spellStart"/>
      <w:r w:rsidRPr="00597A69">
        <w:rPr>
          <w:rFonts w:ascii="Arial" w:hAnsi="Arial" w:cs="Arial"/>
          <w:i/>
          <w:iCs/>
          <w:sz w:val="20"/>
          <w:szCs w:val="20"/>
        </w:rPr>
        <w:t>quis</w:t>
      </w:r>
      <w:proofErr w:type="spellEnd"/>
      <w:r w:rsidRPr="00597A69">
        <w:rPr>
          <w:rFonts w:ascii="Arial" w:hAnsi="Arial" w:cs="Arial"/>
          <w:i/>
          <w:iCs/>
          <w:sz w:val="20"/>
          <w:szCs w:val="20"/>
        </w:rPr>
        <w:t xml:space="preserve">[o] lavar las manos y uno de los militares se enojó [y le] dijo que [les] iba a aplastar la cabeza con una piedra y los [llevaron] al [Juzgado y al Ministerio Público]". Además señaló que "en algunos momentos por medio de las torturas, [le] hicieron firmar o aceptar que la pistola y marihuana [eran suyas]", advirtiéndole "que si no lo aceptaba tenían a [su] familia bien ubicada y, por temor </w:t>
      </w:r>
      <w:r w:rsidRPr="008C1067">
        <w:rPr>
          <w:rFonts w:ascii="Arial" w:hAnsi="Arial" w:cs="Arial"/>
          <w:i/>
          <w:iCs/>
          <w:sz w:val="20"/>
          <w:szCs w:val="20"/>
        </w:rPr>
        <w:t xml:space="preserve">a que golpearan a [su] familia […] </w:t>
      </w:r>
      <w:proofErr w:type="spellStart"/>
      <w:r w:rsidRPr="008C1067">
        <w:rPr>
          <w:rFonts w:ascii="Arial" w:hAnsi="Arial" w:cs="Arial"/>
          <w:i/>
          <w:iCs/>
          <w:sz w:val="20"/>
          <w:szCs w:val="20"/>
        </w:rPr>
        <w:t>tuv</w:t>
      </w:r>
      <w:proofErr w:type="spellEnd"/>
      <w:r w:rsidRPr="008C1067">
        <w:rPr>
          <w:rFonts w:ascii="Arial" w:hAnsi="Arial" w:cs="Arial"/>
          <w:i/>
          <w:iCs/>
          <w:sz w:val="20"/>
          <w:szCs w:val="20"/>
        </w:rPr>
        <w:t xml:space="preserve">[o] que callar". Cfr. Ampliación de declaración preparatoria de los señores Cabrera y Montiel ante el Juez de Primera Instancia Penal del Distrito Judicial de Mina de 13 de julio de 1999 (Causa Penal 61/99) (expediente de anexos a la contestación de la demanda, tomo XXIII, folios 10037, 10039 y 10040). 146 El 23 de diciembre de 1999 el señor Cabrera García dejó constancia que: "al tiempo que lo anduvieron jaloneando se </w:t>
      </w:r>
      <w:proofErr w:type="spellStart"/>
      <w:proofErr w:type="gramStart"/>
      <w:r w:rsidRPr="008C1067">
        <w:rPr>
          <w:rFonts w:ascii="Arial" w:hAnsi="Arial" w:cs="Arial"/>
          <w:i/>
          <w:iCs/>
          <w:sz w:val="20"/>
          <w:szCs w:val="20"/>
        </w:rPr>
        <w:t>enc</w:t>
      </w:r>
      <w:proofErr w:type="spellEnd"/>
      <w:r w:rsidRPr="008C1067">
        <w:rPr>
          <w:rFonts w:ascii="Arial" w:hAnsi="Arial" w:cs="Arial"/>
          <w:i/>
          <w:iCs/>
          <w:sz w:val="20"/>
          <w:szCs w:val="20"/>
        </w:rPr>
        <w:t>[</w:t>
      </w:r>
      <w:proofErr w:type="spellStart"/>
      <w:proofErr w:type="gramEnd"/>
      <w:r w:rsidRPr="008C1067">
        <w:rPr>
          <w:rFonts w:ascii="Arial" w:hAnsi="Arial" w:cs="Arial"/>
          <w:i/>
          <w:iCs/>
          <w:sz w:val="20"/>
          <w:szCs w:val="20"/>
        </w:rPr>
        <w:t>ontraba</w:t>
      </w:r>
      <w:proofErr w:type="spellEnd"/>
      <w:r w:rsidRPr="008C1067">
        <w:rPr>
          <w:rFonts w:ascii="Arial" w:hAnsi="Arial" w:cs="Arial"/>
          <w:i/>
          <w:iCs/>
          <w:sz w:val="20"/>
          <w:szCs w:val="20"/>
        </w:rPr>
        <w:t xml:space="preserve">] enfermo, pues se le </w:t>
      </w:r>
      <w:proofErr w:type="spellStart"/>
      <w:r w:rsidRPr="008C1067">
        <w:rPr>
          <w:rFonts w:ascii="Arial" w:hAnsi="Arial" w:cs="Arial"/>
          <w:i/>
          <w:iCs/>
          <w:sz w:val="20"/>
          <w:szCs w:val="20"/>
        </w:rPr>
        <w:t>est</w:t>
      </w:r>
      <w:proofErr w:type="spellEnd"/>
      <w:r w:rsidRPr="008C1067">
        <w:rPr>
          <w:rFonts w:ascii="Arial" w:hAnsi="Arial" w:cs="Arial"/>
          <w:i/>
          <w:iCs/>
          <w:sz w:val="20"/>
          <w:szCs w:val="20"/>
        </w:rPr>
        <w:t>[</w:t>
      </w:r>
      <w:proofErr w:type="spellStart"/>
      <w:r w:rsidRPr="008C1067">
        <w:rPr>
          <w:rFonts w:ascii="Arial" w:hAnsi="Arial" w:cs="Arial"/>
          <w:i/>
          <w:iCs/>
          <w:sz w:val="20"/>
          <w:szCs w:val="20"/>
        </w:rPr>
        <w:t>aban</w:t>
      </w:r>
      <w:proofErr w:type="spellEnd"/>
      <w:r w:rsidRPr="008C1067">
        <w:rPr>
          <w:rFonts w:ascii="Arial" w:hAnsi="Arial" w:cs="Arial"/>
          <w:i/>
          <w:iCs/>
          <w:sz w:val="20"/>
          <w:szCs w:val="20"/>
        </w:rPr>
        <w:t>] secando sus testículos y orina[</w:t>
      </w:r>
      <w:proofErr w:type="spellStart"/>
      <w:r w:rsidRPr="008C1067">
        <w:rPr>
          <w:rFonts w:ascii="Arial" w:hAnsi="Arial" w:cs="Arial"/>
          <w:i/>
          <w:iCs/>
          <w:sz w:val="20"/>
          <w:szCs w:val="20"/>
        </w:rPr>
        <w:t>ba</w:t>
      </w:r>
      <w:proofErr w:type="spellEnd"/>
      <w:r w:rsidRPr="008C1067">
        <w:rPr>
          <w:rFonts w:ascii="Arial" w:hAnsi="Arial" w:cs="Arial"/>
          <w:i/>
          <w:iCs/>
          <w:sz w:val="20"/>
          <w:szCs w:val="20"/>
        </w:rPr>
        <w:t xml:space="preserve">] sangre de los golpes que le dieron". Asimismo, enfatizó "que fueron "cuatro militares" los que "lo jaloneaban de sus testículos". Además, indicó que "los llevaron a la orilla del Río de </w:t>
      </w:r>
      <w:proofErr w:type="spellStart"/>
      <w:r w:rsidRPr="008C1067">
        <w:rPr>
          <w:rFonts w:ascii="Arial" w:hAnsi="Arial" w:cs="Arial"/>
          <w:i/>
          <w:iCs/>
          <w:sz w:val="20"/>
          <w:szCs w:val="20"/>
        </w:rPr>
        <w:t>Pizotla</w:t>
      </w:r>
      <w:proofErr w:type="spellEnd"/>
      <w:r w:rsidRPr="008C1067">
        <w:rPr>
          <w:rFonts w:ascii="Arial" w:hAnsi="Arial" w:cs="Arial"/>
          <w:i/>
          <w:iCs/>
          <w:sz w:val="20"/>
          <w:szCs w:val="20"/>
        </w:rPr>
        <w:t xml:space="preserve"> y ahí los tuvieron amarrados de pies y manos, que no les daban de comer y que de ahí donde se encontraban tirados con los codos escarbaban y el agua que se juntaba ahí se la tomaban, porque no les daban agua". "[Y]a estando en el […] batallón siguieron golpeándolo y […] que el jueves llegó un soldado en estado de ebriedad y los siguió golpeando y torturando […]".Cfr. Ampliación de declaración de los señores Cabrera y Montiel de 23 de diciembre de 1999, supra nota 67, folios 10360 a 10362 y 10364 a 10366</w:t>
      </w:r>
      <w:proofErr w:type="gramStart"/>
      <w:r w:rsidRPr="008C1067">
        <w:rPr>
          <w:rFonts w:ascii="Arial" w:hAnsi="Arial" w:cs="Arial"/>
          <w:i/>
          <w:iCs/>
          <w:sz w:val="20"/>
          <w:szCs w:val="20"/>
        </w:rPr>
        <w:t>.[</w:t>
      </w:r>
      <w:proofErr w:type="gramEnd"/>
      <w:r w:rsidRPr="008C1067">
        <w:rPr>
          <w:rFonts w:ascii="Arial" w:hAnsi="Arial" w:cs="Arial"/>
          <w:i/>
          <w:iCs/>
          <w:sz w:val="20"/>
          <w:szCs w:val="20"/>
        </w:rPr>
        <w:t xml:space="preserve">…] </w:t>
      </w:r>
    </w:p>
    <w:p w14:paraId="49E2723B" w14:textId="77777777" w:rsidR="00540C7A" w:rsidRDefault="00540C7A" w:rsidP="00E82B3F">
      <w:pPr>
        <w:spacing w:after="0" w:line="240" w:lineRule="auto"/>
        <w:ind w:left="567" w:right="284"/>
        <w:jc w:val="both"/>
        <w:rPr>
          <w:rFonts w:ascii="Arial" w:hAnsi="Arial" w:cs="Arial"/>
          <w:i/>
          <w:iCs/>
          <w:sz w:val="20"/>
          <w:szCs w:val="20"/>
        </w:rPr>
      </w:pPr>
    </w:p>
    <w:p w14:paraId="068E98A7" w14:textId="77777777" w:rsidR="00540C7A" w:rsidRDefault="00540C7A" w:rsidP="00540C7A">
      <w:pPr>
        <w:pStyle w:val="Sinespaciado"/>
        <w:spacing w:line="276" w:lineRule="auto"/>
        <w:jc w:val="both"/>
        <w:rPr>
          <w:rFonts w:ascii="Arial" w:hAnsi="Arial" w:cs="Arial"/>
        </w:rPr>
      </w:pPr>
      <w:r w:rsidRPr="00540C7A">
        <w:rPr>
          <w:rFonts w:ascii="Arial" w:hAnsi="Arial" w:cs="Arial"/>
          <w:iCs/>
          <w:szCs w:val="20"/>
        </w:rPr>
        <w:t xml:space="preserve">Además, </w:t>
      </w:r>
      <w:r>
        <w:rPr>
          <w:rFonts w:ascii="Arial" w:hAnsi="Arial" w:cs="Arial"/>
          <w:iCs/>
          <w:szCs w:val="20"/>
        </w:rPr>
        <w:t xml:space="preserve">las </w:t>
      </w:r>
      <w:r>
        <w:rPr>
          <w:rFonts w:ascii="Arial" w:hAnsi="Arial" w:cs="Arial"/>
        </w:rPr>
        <w:t>normas generales reclamadas</w:t>
      </w:r>
      <w:r w:rsidRPr="00041B75">
        <w:rPr>
          <w:rFonts w:ascii="Arial" w:hAnsi="Arial" w:cs="Arial"/>
        </w:rPr>
        <w:t xml:space="preserve"> </w:t>
      </w:r>
      <w:r>
        <w:rPr>
          <w:rFonts w:ascii="Arial" w:hAnsi="Arial" w:cs="Arial"/>
          <w:iCs/>
          <w:szCs w:val="20"/>
        </w:rPr>
        <w:t>son</w:t>
      </w:r>
      <w:r w:rsidRPr="00540C7A">
        <w:rPr>
          <w:rFonts w:ascii="Arial" w:hAnsi="Arial" w:cs="Arial"/>
          <w:iCs/>
          <w:szCs w:val="20"/>
        </w:rPr>
        <w:t xml:space="preserve"> contrari</w:t>
      </w:r>
      <w:r>
        <w:rPr>
          <w:rFonts w:ascii="Arial" w:hAnsi="Arial" w:cs="Arial"/>
          <w:iCs/>
          <w:szCs w:val="20"/>
        </w:rPr>
        <w:t xml:space="preserve">as al </w:t>
      </w:r>
      <w:r w:rsidRPr="00540C7A">
        <w:rPr>
          <w:rFonts w:ascii="Arial" w:hAnsi="Arial" w:cs="Arial"/>
          <w:iCs/>
          <w:szCs w:val="20"/>
        </w:rPr>
        <w:t xml:space="preserve">caso Radilla Pacheco </w:t>
      </w:r>
      <w:r w:rsidRPr="00540C7A">
        <w:rPr>
          <w:rFonts w:ascii="Arial" w:hAnsi="Arial" w:cs="Arial"/>
        </w:rPr>
        <w:t xml:space="preserve">Rosendo Radilla Pacheco fue un campesino, compositor de corridos y líder social y </w:t>
      </w:r>
      <w:r w:rsidRPr="00540C7A">
        <w:rPr>
          <w:rFonts w:ascii="Arial" w:hAnsi="Arial" w:cs="Arial"/>
        </w:rPr>
        <w:lastRenderedPageBreak/>
        <w:t>político. Nació en 1914, fue presidente municipal de Atoyac de Álvarez de 1955 a 1956, y mantuvo una estrecha relación con Lucio Cabañas (líder estudiantil y jefe del grupo armado Partido de los Pobres).</w:t>
      </w:r>
    </w:p>
    <w:p w14:paraId="11FE4564" w14:textId="77777777" w:rsidR="00540C7A" w:rsidRPr="00540C7A" w:rsidRDefault="00540C7A" w:rsidP="00540C7A">
      <w:pPr>
        <w:pStyle w:val="Sinespaciado"/>
        <w:spacing w:line="276" w:lineRule="auto"/>
        <w:jc w:val="both"/>
        <w:rPr>
          <w:rFonts w:ascii="Arial" w:hAnsi="Arial" w:cs="Arial"/>
        </w:rPr>
      </w:pPr>
    </w:p>
    <w:p w14:paraId="3052FA56"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 xml:space="preserve">El </w:t>
      </w:r>
      <w:r w:rsidRPr="00540C7A">
        <w:rPr>
          <w:rFonts w:ascii="Arial" w:hAnsi="Arial" w:cs="Arial"/>
          <w:b/>
          <w:bCs/>
        </w:rPr>
        <w:t>25 de agosto de 1974</w:t>
      </w:r>
      <w:r w:rsidRPr="00540C7A">
        <w:rPr>
          <w:rFonts w:ascii="Arial" w:hAnsi="Arial" w:cs="Arial"/>
        </w:rPr>
        <w:t>, viajando con su hijo de 11 años en un autobús de Flecha Roja desde Atoyac de Álvarez en dirección a Chilpancingo, Rosendo Radilla es detenido en un retén militar. El personaje que lo detuvo era quien daba las órdenes y lo detuvo bajo el argumento de “</w:t>
      </w:r>
      <w:r w:rsidRPr="00540C7A">
        <w:rPr>
          <w:rFonts w:ascii="Arial" w:hAnsi="Arial" w:cs="Arial"/>
          <w:b/>
          <w:bCs/>
        </w:rPr>
        <w:t>de componer corridos a Lucio Cabañas</w:t>
      </w:r>
      <w:r w:rsidRPr="00540C7A">
        <w:rPr>
          <w:rFonts w:ascii="Arial" w:hAnsi="Arial" w:cs="Arial"/>
        </w:rPr>
        <w:t>”.</w:t>
      </w:r>
    </w:p>
    <w:p w14:paraId="7A5A7022" w14:textId="77777777" w:rsidR="00540C7A" w:rsidRDefault="00540C7A" w:rsidP="00540C7A">
      <w:pPr>
        <w:pStyle w:val="Sinespaciado"/>
        <w:jc w:val="both"/>
      </w:pPr>
    </w:p>
    <w:p w14:paraId="7A8CBFB6"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La detención de Rosendo Radilla ocurre en el periodo histórico conocido como “</w:t>
      </w:r>
      <w:r w:rsidRPr="00540C7A">
        <w:rPr>
          <w:rFonts w:ascii="Arial" w:hAnsi="Arial" w:cs="Arial"/>
          <w:b/>
          <w:bCs/>
        </w:rPr>
        <w:t>guerra sucia</w:t>
      </w:r>
      <w:r w:rsidRPr="00540C7A">
        <w:rPr>
          <w:rFonts w:ascii="Arial" w:hAnsi="Arial" w:cs="Arial"/>
        </w:rPr>
        <w:t xml:space="preserve">”. Este periodo se distingue por la opresión que hubo por parte del Estado Mexicano en contra de los grupos opositores. El estado de Guerrero es conocido por ser el de mayor opresión y el de mayor presencia militar. Su principal arma era la desaparición forzada, que era utilizada como amedrentamiento en contra de los familiares de los desaparecidos. Durante el periodo de la guerra sucia, </w:t>
      </w:r>
      <w:r w:rsidRPr="00540C7A">
        <w:rPr>
          <w:rFonts w:ascii="Arial" w:hAnsi="Arial" w:cs="Arial"/>
          <w:b/>
          <w:bCs/>
        </w:rPr>
        <w:t>se estima que desaparecieron a 437 personas del municipio de Atoyac de Álvarez</w:t>
      </w:r>
      <w:r w:rsidRPr="00540C7A">
        <w:rPr>
          <w:rFonts w:ascii="Arial" w:hAnsi="Arial" w:cs="Arial"/>
        </w:rPr>
        <w:t>.</w:t>
      </w:r>
    </w:p>
    <w:p w14:paraId="04A39099" w14:textId="77777777" w:rsidR="00540C7A" w:rsidRPr="00540C7A" w:rsidRDefault="00540C7A" w:rsidP="00540C7A">
      <w:pPr>
        <w:pStyle w:val="Sinespaciado"/>
        <w:spacing w:line="276" w:lineRule="auto"/>
        <w:jc w:val="both"/>
        <w:rPr>
          <w:rFonts w:ascii="Arial" w:hAnsi="Arial" w:cs="Arial"/>
          <w:b/>
          <w:bCs/>
        </w:rPr>
      </w:pPr>
    </w:p>
    <w:p w14:paraId="15C26836"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En esta denuncia, se alegaban violaciones a derechos protegidos por la Convención Americana de Derechos Humanos CADH: Derecho a la vida (artículo 4), derecho a la integridad personal (artículo 5); derecho a la libertad personal (artículo 7); garantías judiciales (artículo 8); protección judicial (artículo 25) en perjuicio de Rosendo Radilla Pacheco. Asimismo, los peticionarios denunciaron la violación de los artículos I, II, IX, XI, y XIX de la Convención Interamericana sobre Desaparición Forzada de Personas.</w:t>
      </w:r>
    </w:p>
    <w:p w14:paraId="0F452D8F" w14:textId="54A6300F" w:rsidR="00540C7A" w:rsidRPr="00540C7A" w:rsidRDefault="00540C7A" w:rsidP="00540C7A">
      <w:pPr>
        <w:spacing w:after="0"/>
        <w:ind w:right="284"/>
        <w:jc w:val="both"/>
        <w:rPr>
          <w:rFonts w:ascii="Arial" w:hAnsi="Arial" w:cs="Arial"/>
          <w:iCs/>
          <w:sz w:val="20"/>
          <w:szCs w:val="20"/>
        </w:rPr>
      </w:pPr>
    </w:p>
    <w:p w14:paraId="2AFBA3C4"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 xml:space="preserve">El 23 de noviembre de 2009, la </w:t>
      </w:r>
      <w:proofErr w:type="spellStart"/>
      <w:r w:rsidRPr="00540C7A">
        <w:rPr>
          <w:rFonts w:ascii="Arial" w:hAnsi="Arial" w:cs="Arial"/>
        </w:rPr>
        <w:t>CoIDH</w:t>
      </w:r>
      <w:proofErr w:type="spellEnd"/>
      <w:r w:rsidRPr="00540C7A">
        <w:rPr>
          <w:rFonts w:ascii="Arial" w:hAnsi="Arial" w:cs="Arial"/>
        </w:rPr>
        <w:t xml:space="preserve"> emite una sentencia condenatoria contra el Estado mexicano por la violación a los derechos al reconocimiento de la personalidad jurídica, a la vida, a la integridad personal, a la libertad personal, a las garantías judiciales y a la protección judicial de Rosendo Radilla Pacheco debido a la desaparición forzada cometida por elementos militares, de la cual es víctima. Esto en conexión con la obligación de respetar los derechos, de la Convención Americana sobre Derechos Humanos y la Convención Interamericana sobre Desaparición Forzada.</w:t>
      </w:r>
    </w:p>
    <w:p w14:paraId="12C64D6E" w14:textId="77777777" w:rsidR="00540C7A" w:rsidRPr="00540C7A" w:rsidRDefault="00540C7A" w:rsidP="00540C7A">
      <w:pPr>
        <w:pStyle w:val="Sinespaciado"/>
        <w:spacing w:line="276" w:lineRule="auto"/>
        <w:jc w:val="both"/>
        <w:rPr>
          <w:rFonts w:ascii="Arial" w:hAnsi="Arial" w:cs="Arial"/>
        </w:rPr>
      </w:pPr>
    </w:p>
    <w:p w14:paraId="607C8B06"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 xml:space="preserve">En esta sentencia, la Corte declaró: </w:t>
      </w:r>
    </w:p>
    <w:p w14:paraId="24EE4624" w14:textId="77777777" w:rsidR="00540C7A" w:rsidRPr="00540C7A" w:rsidRDefault="00540C7A" w:rsidP="00540C7A">
      <w:pPr>
        <w:pStyle w:val="Sinespaciado"/>
        <w:spacing w:line="276" w:lineRule="auto"/>
        <w:jc w:val="both"/>
        <w:rPr>
          <w:rFonts w:ascii="Arial" w:hAnsi="Arial" w:cs="Arial"/>
        </w:rPr>
      </w:pPr>
    </w:p>
    <w:p w14:paraId="64058833"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1. La responsabilidad internacional del Estado Mexicano en la violación de los derechos a la libertad personal, a la integridad personal, al reconocimiento de la personalidad jurídica y a la vida, consagrados en los artículos 7.1, 5.1, 5.2, 3 y 4.1 de la Convención Americana sobre Derechos Humanos, en relación con la obligación de respetar y garantizar contenida en el artículo 1.1 de la misma y con los artículos I y XI de la Convención Interamericana sobre Desaparición Forzada de Personas, en perjuicio del señor Rosendo Radilla Pacheco.</w:t>
      </w:r>
    </w:p>
    <w:p w14:paraId="4347046A" w14:textId="77777777" w:rsidR="00540C7A" w:rsidRPr="00540C7A" w:rsidRDefault="00540C7A" w:rsidP="00540C7A">
      <w:pPr>
        <w:pStyle w:val="Sinespaciado"/>
        <w:spacing w:line="276" w:lineRule="auto"/>
        <w:jc w:val="both"/>
        <w:rPr>
          <w:rFonts w:ascii="Arial" w:hAnsi="Arial" w:cs="Arial"/>
        </w:rPr>
      </w:pPr>
    </w:p>
    <w:p w14:paraId="168121F7"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2. También hallaba responsable al Estado por la violación del derecho a la integridad personal consagrado en los artículos 5.1 y 5.2 de la Convención Americana sobre Derechos Humanos, en relación con el artículo 1.1 de la misma, en perjuicio de las señoras Tita y Andrea, y del señor Rosendo, todos de apellidos Radilla Martínez.</w:t>
      </w:r>
    </w:p>
    <w:p w14:paraId="7300B0D5" w14:textId="77777777" w:rsidR="00540C7A" w:rsidRPr="00540C7A" w:rsidRDefault="00540C7A" w:rsidP="00540C7A">
      <w:pPr>
        <w:pStyle w:val="Sinespaciado"/>
        <w:spacing w:line="276" w:lineRule="auto"/>
        <w:jc w:val="both"/>
        <w:rPr>
          <w:rFonts w:ascii="Arial" w:hAnsi="Arial" w:cs="Arial"/>
        </w:rPr>
      </w:pPr>
    </w:p>
    <w:p w14:paraId="7C8CCCBE"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3. Así como la responsabilidad del Estado por la violación de los derechos a las garantías judiciales y a la protección judicial, reconocidos en los artículos 8.1 y 25.1 de la Convención Americana sobre Derechos Humanos, en relación con los artículos 1.1 y 2 de la misma y los artículos I incisos a), b) y d), IX y XIX de la Convención Interamericana sobre Desaparición Forzada de Personas, en perjuicio de las señoras Tita y Andrea, y del señor Rosendo, todos de apellidos Radilla Martínez.</w:t>
      </w:r>
    </w:p>
    <w:p w14:paraId="40978E7C" w14:textId="77777777" w:rsidR="00540C7A" w:rsidRPr="00540C7A" w:rsidRDefault="00540C7A" w:rsidP="00540C7A">
      <w:pPr>
        <w:pStyle w:val="Sinespaciado"/>
        <w:spacing w:line="276" w:lineRule="auto"/>
        <w:jc w:val="both"/>
        <w:rPr>
          <w:rFonts w:ascii="Arial" w:hAnsi="Arial" w:cs="Arial"/>
        </w:rPr>
      </w:pPr>
    </w:p>
    <w:p w14:paraId="1141EF76"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 xml:space="preserve">4. Declaró el incumplimiento del Estado en su deber de adoptar disposiciones de derecho interno establecido en el artículo 2 de la Convención Americana sobre </w:t>
      </w:r>
      <w:r w:rsidRPr="00540C7A">
        <w:rPr>
          <w:rFonts w:ascii="Arial" w:hAnsi="Arial" w:cs="Arial"/>
        </w:rPr>
        <w:lastRenderedPageBreak/>
        <w:t>Derechos Humanos, en relación con los artículos I y III de la Convención Interamericana sobre Desaparición Forzada de Personas, respecto de la tipificación del delito de desaparición forzada de personas.</w:t>
      </w:r>
    </w:p>
    <w:p w14:paraId="298C2F20" w14:textId="77777777" w:rsidR="00540C7A" w:rsidRPr="00540C7A" w:rsidRDefault="00540C7A" w:rsidP="00540C7A">
      <w:pPr>
        <w:pStyle w:val="Sinespaciado"/>
        <w:spacing w:line="276" w:lineRule="auto"/>
        <w:jc w:val="both"/>
        <w:rPr>
          <w:rFonts w:ascii="Arial" w:hAnsi="Arial" w:cs="Arial"/>
        </w:rPr>
      </w:pPr>
    </w:p>
    <w:p w14:paraId="01F8AD61"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 xml:space="preserve">5 Respecto a las reparaciones a las que el Estado se encontraba obligado, la Corte Interamericana apreció que la sentencia </w:t>
      </w:r>
      <w:proofErr w:type="spellStart"/>
      <w:r w:rsidRPr="00540C7A">
        <w:rPr>
          <w:rFonts w:ascii="Arial" w:hAnsi="Arial" w:cs="Arial"/>
        </w:rPr>
        <w:t>constitupia</w:t>
      </w:r>
      <w:proofErr w:type="spellEnd"/>
      <w:r w:rsidRPr="00540C7A">
        <w:rPr>
          <w:rFonts w:ascii="Arial" w:hAnsi="Arial" w:cs="Arial"/>
        </w:rPr>
        <w:t xml:space="preserve"> per se una forma de reparación.</w:t>
      </w:r>
    </w:p>
    <w:p w14:paraId="3C20120B" w14:textId="77777777" w:rsidR="00540C7A" w:rsidRPr="00540C7A" w:rsidRDefault="00540C7A" w:rsidP="00540C7A">
      <w:pPr>
        <w:pStyle w:val="Sinespaciado"/>
        <w:spacing w:line="276" w:lineRule="auto"/>
        <w:jc w:val="both"/>
        <w:rPr>
          <w:rFonts w:ascii="Arial" w:hAnsi="Arial" w:cs="Arial"/>
        </w:rPr>
      </w:pPr>
    </w:p>
    <w:p w14:paraId="3561057E"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6. También afirmó que el Estado debería conducir eficazmente, con diligencia y dentro de un plazo razonable, la investigación y, en su caso, los procesos penales en relación con la detención y posterior desaparición forzada del señor Rosendo Radilla Pacheco, para determinar las correspondientes responsabilidades penales y aplicar efectivamente las sanciones y consecuencias que la ley prevea.</w:t>
      </w:r>
    </w:p>
    <w:p w14:paraId="661C86EA" w14:textId="77777777" w:rsidR="00540C7A" w:rsidRPr="00540C7A" w:rsidRDefault="00540C7A" w:rsidP="00540C7A">
      <w:pPr>
        <w:pStyle w:val="Sinespaciado"/>
        <w:spacing w:line="276" w:lineRule="auto"/>
        <w:jc w:val="both"/>
        <w:rPr>
          <w:rFonts w:ascii="Arial" w:hAnsi="Arial" w:cs="Arial"/>
        </w:rPr>
      </w:pPr>
    </w:p>
    <w:p w14:paraId="6F70BE88"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7. El Estado debería proseguir con la búsqueda efectiva y la localización inmediata del señor Rosendo Radilla Pacheco o, en su caso, de sus restos mortales.</w:t>
      </w:r>
    </w:p>
    <w:p w14:paraId="534A6D74" w14:textId="77777777" w:rsidR="00540C7A" w:rsidRPr="00540C7A" w:rsidRDefault="00540C7A" w:rsidP="00540C7A">
      <w:pPr>
        <w:pStyle w:val="Sinespaciado"/>
        <w:spacing w:line="276" w:lineRule="auto"/>
        <w:jc w:val="both"/>
        <w:rPr>
          <w:rFonts w:ascii="Arial" w:hAnsi="Arial" w:cs="Arial"/>
        </w:rPr>
      </w:pPr>
    </w:p>
    <w:p w14:paraId="6955D354"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8. También se le impuso al Estado la Obligación de adoptar, en un plazo razonable, las reformas legislativas pertinentes para compatibilizar Código de Justicia Militar con los estándares internacionales en la materia y de la Convención Americana sobre Derechos Humanos.</w:t>
      </w:r>
    </w:p>
    <w:p w14:paraId="1C9935B4" w14:textId="77777777" w:rsidR="00540C7A" w:rsidRPr="00540C7A" w:rsidRDefault="00540C7A" w:rsidP="00540C7A">
      <w:pPr>
        <w:pStyle w:val="Sinespaciado"/>
        <w:spacing w:line="276" w:lineRule="auto"/>
        <w:jc w:val="both"/>
        <w:rPr>
          <w:rFonts w:ascii="Arial" w:hAnsi="Arial" w:cs="Arial"/>
        </w:rPr>
      </w:pPr>
    </w:p>
    <w:p w14:paraId="3CADFB5B"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9. Por otro lado, El Estado ahora deberá adoptar, en un plazo razonable, las reformas legislativas pertinentes para compatibilizar el artículo 215 A del Código Penal Federal con los estándares internacionales en la materia y de la Convención Interamericana sobre Desaparición Forzada de Personas.</w:t>
      </w:r>
    </w:p>
    <w:p w14:paraId="7990980A" w14:textId="77777777" w:rsidR="00540C7A" w:rsidRPr="00540C7A" w:rsidRDefault="00540C7A" w:rsidP="00540C7A">
      <w:pPr>
        <w:pStyle w:val="Sinespaciado"/>
        <w:spacing w:line="276" w:lineRule="auto"/>
        <w:jc w:val="both"/>
        <w:rPr>
          <w:rFonts w:ascii="Arial" w:hAnsi="Arial" w:cs="Arial"/>
        </w:rPr>
      </w:pPr>
    </w:p>
    <w:p w14:paraId="3B25AA80"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10. Además, el Estado tiene la obligación de implementar, en un plazo razonable, programas o cursos permanentes relativos al análisis de la jurisprudencia del Sistema Interamericano de Protección de los Derechos Humanos en relación con los límites de la jurisdicción penal militar, así como un programa de formación sobre la debida investigación y juzgamiento de hechos constitutivos de desaparición forzada de personas.</w:t>
      </w:r>
    </w:p>
    <w:p w14:paraId="2F0AB583" w14:textId="77777777" w:rsidR="00540C7A" w:rsidRPr="00540C7A" w:rsidRDefault="00540C7A" w:rsidP="00540C7A">
      <w:pPr>
        <w:pStyle w:val="Sinespaciado"/>
        <w:spacing w:line="276" w:lineRule="auto"/>
        <w:jc w:val="both"/>
        <w:rPr>
          <w:rFonts w:ascii="Arial" w:hAnsi="Arial" w:cs="Arial"/>
        </w:rPr>
      </w:pPr>
    </w:p>
    <w:p w14:paraId="48E2213B"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11. El Estado también deberá cumplir con la publicación en el Diario Oficial de la Federación y en otro diario de amplia circulación nacional, por una sola vez, los párrafos 1 a 7, 52 a 66, 114 a 358 de la presente Sentencia, y la parte resolutiva de la misma, y publicar íntegramente este Fallo en el sitio web oficial de la Procuraduría General de la República.</w:t>
      </w:r>
    </w:p>
    <w:p w14:paraId="2621A894" w14:textId="77777777" w:rsidR="00540C7A" w:rsidRPr="00540C7A" w:rsidRDefault="00540C7A" w:rsidP="00540C7A">
      <w:pPr>
        <w:pStyle w:val="Sinespaciado"/>
        <w:spacing w:line="276" w:lineRule="auto"/>
        <w:jc w:val="both"/>
        <w:rPr>
          <w:rFonts w:ascii="Arial" w:hAnsi="Arial" w:cs="Arial"/>
        </w:rPr>
      </w:pPr>
    </w:p>
    <w:p w14:paraId="744D0EED"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12. Así como la realización por parte del Estado de un acto público de reconocimiento de responsabilidad en relación con los hechos del caso y en desagravio a la memoria del señor Rosendo Radilla Pacheco.</w:t>
      </w:r>
    </w:p>
    <w:p w14:paraId="4B42A025" w14:textId="77777777" w:rsidR="00540C7A" w:rsidRPr="00540C7A" w:rsidRDefault="00540C7A" w:rsidP="00540C7A">
      <w:pPr>
        <w:pStyle w:val="Sinespaciado"/>
        <w:spacing w:line="276" w:lineRule="auto"/>
        <w:jc w:val="both"/>
        <w:rPr>
          <w:rFonts w:ascii="Arial" w:hAnsi="Arial" w:cs="Arial"/>
        </w:rPr>
      </w:pPr>
    </w:p>
    <w:p w14:paraId="560683A2"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13. También figura como obligación al Estado la realización de una semblanza de la vida del señor Rosendo Radilla Pacheco</w:t>
      </w:r>
    </w:p>
    <w:p w14:paraId="52F4AFAC" w14:textId="77777777" w:rsidR="00540C7A" w:rsidRPr="00540C7A" w:rsidRDefault="00540C7A" w:rsidP="00540C7A">
      <w:pPr>
        <w:pStyle w:val="Sinespaciado"/>
        <w:spacing w:line="276" w:lineRule="auto"/>
        <w:jc w:val="both"/>
        <w:rPr>
          <w:rFonts w:ascii="Arial" w:hAnsi="Arial" w:cs="Arial"/>
        </w:rPr>
      </w:pPr>
    </w:p>
    <w:p w14:paraId="100440D0"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14. El Estado también deberá brindar atención psicológica y/o psiquiátrica gratuita y de forma inmediata, adecuada y efectiva a las víctimas declaras en la sentencia que así lo soliciten.</w:t>
      </w:r>
    </w:p>
    <w:p w14:paraId="0E37318D" w14:textId="77777777" w:rsidR="00540C7A" w:rsidRPr="00540C7A" w:rsidRDefault="00540C7A" w:rsidP="00540C7A">
      <w:pPr>
        <w:pStyle w:val="Sinespaciado"/>
        <w:spacing w:line="276" w:lineRule="auto"/>
        <w:jc w:val="both"/>
        <w:rPr>
          <w:rFonts w:ascii="Arial" w:hAnsi="Arial" w:cs="Arial"/>
        </w:rPr>
      </w:pPr>
    </w:p>
    <w:p w14:paraId="7674945C"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15. Así como pagar las cantidades fijadas en los párrafos 365, 370, 375 y 385 de la Sentencia, por concepto de indemnización por daño material e inmaterial, y el reintegro de costas y gastos, según corresponda, dentro del plazo de un año, contado a partir de la notificación de la sentencia</w:t>
      </w:r>
    </w:p>
    <w:p w14:paraId="716C78B7" w14:textId="77777777" w:rsidR="00540C7A" w:rsidRPr="00540C7A" w:rsidRDefault="00540C7A" w:rsidP="00540C7A">
      <w:pPr>
        <w:pStyle w:val="Sinespaciado"/>
        <w:spacing w:line="276" w:lineRule="auto"/>
        <w:jc w:val="both"/>
        <w:rPr>
          <w:rFonts w:ascii="Arial" w:hAnsi="Arial" w:cs="Arial"/>
        </w:rPr>
      </w:pPr>
    </w:p>
    <w:p w14:paraId="696008E0"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lastRenderedPageBreak/>
        <w:t>16. Por último, dispone la CIDH que La Corte supervisará el cumplimiento íntegro de esta Sentencia, en ejercicio de sus atribuciones y en cumplimiento de sus deberes conforme a la Convención Americana, y dará por concluido el presente caso una vez que el Estado haya dado cabal cumplimiento a lo dispuesto en la misma. El Estado deberá, dentro del plazo de un año contado a partir de la notificación de esta Sentencia, rendir al Tribunal un informe sobre las medidas adoptadas para cumplir con la misma.</w:t>
      </w:r>
    </w:p>
    <w:p w14:paraId="24417815" w14:textId="77777777" w:rsidR="00540C7A" w:rsidRPr="00540C7A" w:rsidRDefault="00540C7A" w:rsidP="00540C7A">
      <w:pPr>
        <w:pStyle w:val="Sinespaciado"/>
        <w:spacing w:line="276" w:lineRule="auto"/>
        <w:jc w:val="both"/>
        <w:rPr>
          <w:rFonts w:ascii="Arial" w:hAnsi="Arial" w:cs="Arial"/>
        </w:rPr>
      </w:pPr>
    </w:p>
    <w:p w14:paraId="7EA87705"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La Corte concluyó que el Estado es responsable de la violación de los derechos a la libertad personal, la integridad personal, el reconocimiento a la personalidad jurídica y la vida del señor Rosendo Radilla Pacheco, en virtud de la desaparición forzada de la cual es víctima, realizada por agentes militares.</w:t>
      </w:r>
    </w:p>
    <w:p w14:paraId="1FEB0044" w14:textId="77777777" w:rsidR="00540C7A" w:rsidRPr="00540C7A" w:rsidRDefault="00540C7A" w:rsidP="00540C7A">
      <w:pPr>
        <w:pStyle w:val="Sinespaciado"/>
        <w:spacing w:line="276" w:lineRule="auto"/>
        <w:jc w:val="both"/>
        <w:rPr>
          <w:rFonts w:ascii="Arial" w:hAnsi="Arial" w:cs="Arial"/>
        </w:rPr>
      </w:pPr>
    </w:p>
    <w:p w14:paraId="1575F783" w14:textId="77777777" w:rsidR="00540C7A" w:rsidRPr="00540C7A" w:rsidRDefault="00540C7A" w:rsidP="00540C7A">
      <w:pPr>
        <w:pStyle w:val="Sinespaciado"/>
        <w:spacing w:line="276" w:lineRule="auto"/>
        <w:jc w:val="both"/>
        <w:rPr>
          <w:rFonts w:ascii="Arial" w:hAnsi="Arial" w:cs="Arial"/>
        </w:rPr>
      </w:pPr>
      <w:r w:rsidRPr="00540C7A">
        <w:rPr>
          <w:rFonts w:ascii="Arial" w:hAnsi="Arial" w:cs="Arial"/>
        </w:rPr>
        <w:t>Asimismo, esta Corte estableció que, tomando en cuenta la naturaleza del crimen y el bien jurídico lesionado, la jurisdicción penal militar no es el fuero competente para investigar y, en su caso, juzgar y sancionar a los autores de violaciones de derechos humanos, sino que el procesamiento de los responsables corresponde siempre a la justicia ordinaria.</w:t>
      </w:r>
    </w:p>
    <w:p w14:paraId="23080F60" w14:textId="77777777" w:rsidR="00540C7A" w:rsidRPr="008C1067" w:rsidRDefault="00540C7A" w:rsidP="00E82B3F">
      <w:pPr>
        <w:spacing w:after="0" w:line="240" w:lineRule="auto"/>
        <w:ind w:left="567" w:right="284"/>
        <w:jc w:val="both"/>
        <w:rPr>
          <w:rFonts w:ascii="Arial" w:hAnsi="Arial" w:cs="Arial"/>
          <w:i/>
          <w:iCs/>
          <w:sz w:val="20"/>
          <w:szCs w:val="20"/>
        </w:rPr>
      </w:pPr>
    </w:p>
    <w:p w14:paraId="747BECB5" w14:textId="77777777" w:rsidR="00E82B3F" w:rsidRPr="00A95230" w:rsidRDefault="00E82B3F" w:rsidP="00E82B3F">
      <w:pPr>
        <w:spacing w:after="0" w:line="240" w:lineRule="auto"/>
        <w:ind w:left="567" w:right="284"/>
        <w:jc w:val="both"/>
        <w:rPr>
          <w:i/>
          <w:iCs/>
        </w:rPr>
      </w:pPr>
    </w:p>
    <w:p w14:paraId="5134E04D" w14:textId="70585D9D" w:rsidR="00E82B3F" w:rsidRDefault="007057F7" w:rsidP="00E82B3F">
      <w:pPr>
        <w:pStyle w:val="Prrafodelista"/>
        <w:ind w:left="0"/>
        <w:jc w:val="center"/>
        <w:rPr>
          <w:rFonts w:ascii="Arial" w:hAnsi="Arial" w:cs="Arial"/>
          <w:b/>
          <w:bCs/>
          <w:i/>
          <w:iCs/>
          <w:sz w:val="24"/>
          <w:szCs w:val="24"/>
        </w:rPr>
      </w:pPr>
      <w:r>
        <w:rPr>
          <w:rFonts w:ascii="Arial" w:hAnsi="Arial" w:cs="Arial"/>
          <w:b/>
          <w:bCs/>
          <w:iCs/>
          <w:sz w:val="24"/>
          <w:szCs w:val="24"/>
          <w:u w:val="single"/>
        </w:rPr>
        <w:t>DÉCIMO QUINTO</w:t>
      </w:r>
      <w:r>
        <w:rPr>
          <w:rFonts w:ascii="Arial" w:hAnsi="Arial" w:cs="Arial"/>
          <w:b/>
          <w:bCs/>
          <w:iCs/>
          <w:sz w:val="24"/>
          <w:szCs w:val="24"/>
        </w:rPr>
        <w:t>.</w:t>
      </w:r>
      <w:r w:rsidR="00E82B3F">
        <w:rPr>
          <w:rFonts w:ascii="Arial" w:hAnsi="Arial" w:cs="Arial"/>
          <w:b/>
          <w:bCs/>
          <w:i/>
          <w:iCs/>
          <w:sz w:val="24"/>
          <w:szCs w:val="24"/>
        </w:rPr>
        <w:t xml:space="preserve"> </w:t>
      </w:r>
      <w:r w:rsidR="00E82B3F" w:rsidRPr="003A16EA">
        <w:rPr>
          <w:rFonts w:ascii="Arial" w:hAnsi="Arial" w:cs="Arial"/>
          <w:b/>
          <w:bCs/>
          <w:i/>
          <w:iCs/>
          <w:sz w:val="24"/>
          <w:szCs w:val="24"/>
        </w:rPr>
        <w:t>CASO ALVARADO ESPINOZA Y OTROS VS. MÉXICO</w:t>
      </w:r>
    </w:p>
    <w:p w14:paraId="748DD03F" w14:textId="77777777" w:rsidR="00E82B3F" w:rsidRDefault="00E82B3F" w:rsidP="00E82B3F">
      <w:pPr>
        <w:pStyle w:val="Prrafodelista"/>
        <w:ind w:left="0"/>
        <w:jc w:val="center"/>
        <w:rPr>
          <w:rFonts w:ascii="Arial" w:hAnsi="Arial" w:cs="Arial"/>
          <w:b/>
          <w:bCs/>
          <w:i/>
          <w:iCs/>
          <w:sz w:val="24"/>
          <w:szCs w:val="24"/>
        </w:rPr>
      </w:pPr>
      <w:r w:rsidRPr="003A16EA">
        <w:rPr>
          <w:rFonts w:ascii="Arial" w:hAnsi="Arial" w:cs="Arial"/>
          <w:b/>
          <w:bCs/>
          <w:i/>
          <w:iCs/>
          <w:sz w:val="24"/>
          <w:szCs w:val="24"/>
        </w:rPr>
        <w:t>SENTENCIA DE 28 DE NOVIEMBRE DE 2018</w:t>
      </w:r>
    </w:p>
    <w:p w14:paraId="7F7AFEC3" w14:textId="77777777" w:rsidR="00E82B3F" w:rsidRDefault="00E82B3F" w:rsidP="00E82B3F">
      <w:pPr>
        <w:pStyle w:val="Prrafodelista"/>
        <w:ind w:left="0"/>
        <w:jc w:val="center"/>
        <w:rPr>
          <w:rFonts w:ascii="Arial" w:hAnsi="Arial" w:cs="Arial"/>
          <w:b/>
          <w:bCs/>
          <w:i/>
          <w:iCs/>
          <w:sz w:val="24"/>
          <w:szCs w:val="24"/>
        </w:rPr>
      </w:pPr>
      <w:r w:rsidRPr="003A16EA">
        <w:rPr>
          <w:rFonts w:ascii="Arial" w:hAnsi="Arial" w:cs="Arial"/>
          <w:b/>
          <w:bCs/>
          <w:i/>
          <w:iCs/>
          <w:sz w:val="24"/>
          <w:szCs w:val="24"/>
        </w:rPr>
        <w:t>(Fondo, Reparaciones y Costas)</w:t>
      </w:r>
      <w:r>
        <w:rPr>
          <w:rStyle w:val="Refdenotaalpie"/>
          <w:rFonts w:ascii="Arial" w:hAnsi="Arial" w:cs="Arial"/>
          <w:b/>
          <w:bCs/>
          <w:i/>
          <w:iCs/>
          <w:sz w:val="24"/>
          <w:szCs w:val="24"/>
        </w:rPr>
        <w:footnoteReference w:id="61"/>
      </w:r>
    </w:p>
    <w:p w14:paraId="2C8C850A" w14:textId="77777777" w:rsidR="00E82B3F" w:rsidRPr="003A16EA" w:rsidRDefault="00E82B3F" w:rsidP="00E82B3F">
      <w:pPr>
        <w:pStyle w:val="Prrafodelista"/>
        <w:ind w:left="0"/>
        <w:jc w:val="center"/>
        <w:rPr>
          <w:rFonts w:ascii="Arial" w:hAnsi="Arial" w:cs="Arial"/>
          <w:b/>
          <w:bCs/>
          <w:shd w:val="clear" w:color="auto" w:fill="FFFFFF"/>
        </w:rPr>
      </w:pPr>
    </w:p>
    <w:p w14:paraId="25D89066" w14:textId="7B1146C9" w:rsidR="00E82B3F" w:rsidRPr="004953CA" w:rsidRDefault="00E82B3F" w:rsidP="00E82B3F">
      <w:pPr>
        <w:pStyle w:val="Prrafodelista"/>
        <w:ind w:left="0"/>
        <w:jc w:val="both"/>
        <w:rPr>
          <w:rFonts w:ascii="Arial" w:hAnsi="Arial" w:cs="Arial"/>
          <w:sz w:val="24"/>
          <w:szCs w:val="24"/>
        </w:rPr>
      </w:pPr>
      <w:r>
        <w:rPr>
          <w:rFonts w:ascii="Arial" w:hAnsi="Arial" w:cs="Arial"/>
          <w:sz w:val="24"/>
          <w:szCs w:val="24"/>
        </w:rPr>
        <w:tab/>
        <w:t>La norma general que se impugna es contraria a la sentencia de veintiocho de noviembre de dos mil dieciocho, mediante la cual se resolvió el</w:t>
      </w:r>
      <w:r w:rsidRPr="003A16EA">
        <w:rPr>
          <w:rFonts w:ascii="Arial" w:hAnsi="Arial" w:cs="Arial"/>
          <w:sz w:val="24"/>
          <w:szCs w:val="24"/>
        </w:rPr>
        <w:t xml:space="preserve"> Caso </w:t>
      </w:r>
      <w:r>
        <w:rPr>
          <w:rFonts w:ascii="Arial" w:hAnsi="Arial" w:cs="Arial"/>
          <w:sz w:val="24"/>
          <w:szCs w:val="24"/>
        </w:rPr>
        <w:t xml:space="preserve">Alvarado Espinoza y Otros vs. México. Toda vez </w:t>
      </w:r>
      <w:r w:rsidRPr="00832FD8">
        <w:rPr>
          <w:rFonts w:ascii="Arial" w:hAnsi="Arial" w:cs="Arial"/>
          <w:sz w:val="24"/>
          <w:szCs w:val="24"/>
        </w:rPr>
        <w:t xml:space="preserve">que </w:t>
      </w:r>
      <w:r w:rsidRPr="004953CA">
        <w:rPr>
          <w:rFonts w:ascii="Arial" w:hAnsi="Arial" w:cs="Arial"/>
          <w:b/>
          <w:bCs/>
          <w:sz w:val="24"/>
          <w:szCs w:val="24"/>
          <w:u w:val="single"/>
        </w:rPr>
        <w:t xml:space="preserve">el acto reclamado </w:t>
      </w:r>
      <w:r w:rsidR="00540C7A">
        <w:rPr>
          <w:rFonts w:ascii="Arial" w:hAnsi="Arial" w:cs="Arial"/>
          <w:b/>
          <w:bCs/>
          <w:sz w:val="24"/>
          <w:szCs w:val="24"/>
          <w:u w:val="single"/>
        </w:rPr>
        <w:t>somete a la Guardia Nacional bajo el mando de la Secretaría de la Defensa Nacional, restándole carácter militar,</w:t>
      </w:r>
      <w:r w:rsidRPr="004953CA">
        <w:rPr>
          <w:rFonts w:ascii="Arial" w:hAnsi="Arial" w:cs="Arial"/>
          <w:b/>
          <w:bCs/>
          <w:sz w:val="24"/>
          <w:szCs w:val="24"/>
          <w:u w:val="single"/>
        </w:rPr>
        <w:t xml:space="preserve"> no es congruente con los parámetros convencionales del uso excepcional de las Fuerzas Armadas en tareas de seguridad pública consistentes en que debe ser de una forma extraordinaria, subordinada y complementaria, regulada y fiscalizada</w:t>
      </w:r>
      <w:r w:rsidRPr="00832FD8">
        <w:rPr>
          <w:rFonts w:ascii="Arial" w:hAnsi="Arial" w:cs="Arial"/>
          <w:sz w:val="24"/>
          <w:szCs w:val="24"/>
        </w:rPr>
        <w:t>.</w:t>
      </w:r>
      <w:r>
        <w:rPr>
          <w:rFonts w:ascii="Arial" w:hAnsi="Arial" w:cs="Arial"/>
          <w:sz w:val="24"/>
          <w:szCs w:val="24"/>
        </w:rPr>
        <w:t xml:space="preserve"> Además, se aleja de los argumentos convencionales, al no comprender </w:t>
      </w:r>
      <w:r w:rsidRPr="004953CA">
        <w:rPr>
          <w:rFonts w:ascii="Arial" w:hAnsi="Arial" w:cs="Arial"/>
          <w:sz w:val="24"/>
          <w:szCs w:val="24"/>
        </w:rPr>
        <w:t xml:space="preserve">que </w:t>
      </w:r>
      <w:r w:rsidRPr="004953CA">
        <w:rPr>
          <w:rFonts w:ascii="Arial" w:hAnsi="Arial" w:cs="Arial"/>
          <w:b/>
          <w:bCs/>
          <w:sz w:val="24"/>
          <w:szCs w:val="24"/>
          <w:u w:val="single"/>
        </w:rPr>
        <w:t>el entrenamiento que reciben las fuerzas militares está dirigido a derrotar al enemigo y no a la protección y control de civiles, entrenamiento que es propio de los entes policiales</w:t>
      </w:r>
      <w:r w:rsidR="00540C7A">
        <w:rPr>
          <w:rFonts w:ascii="Arial" w:hAnsi="Arial" w:cs="Arial"/>
          <w:sz w:val="24"/>
          <w:szCs w:val="24"/>
        </w:rPr>
        <w:t>.</w:t>
      </w:r>
    </w:p>
    <w:p w14:paraId="002862A3" w14:textId="77777777" w:rsidR="00E82B3F" w:rsidRDefault="00E82B3F" w:rsidP="00E82B3F">
      <w:pPr>
        <w:pStyle w:val="Prrafodelista"/>
        <w:ind w:left="0" w:firstLine="708"/>
        <w:jc w:val="both"/>
        <w:rPr>
          <w:rFonts w:ascii="Arial" w:hAnsi="Arial" w:cs="Arial"/>
          <w:sz w:val="24"/>
        </w:rPr>
      </w:pPr>
    </w:p>
    <w:p w14:paraId="285CC8EE" w14:textId="77777777" w:rsidR="00E82B3F" w:rsidRDefault="00E82B3F" w:rsidP="00E82B3F">
      <w:pPr>
        <w:pStyle w:val="Prrafodelista"/>
        <w:ind w:left="0" w:firstLine="708"/>
        <w:jc w:val="both"/>
        <w:rPr>
          <w:rFonts w:ascii="Arial" w:hAnsi="Arial" w:cs="Arial"/>
          <w:sz w:val="24"/>
        </w:rPr>
      </w:pPr>
      <w:r w:rsidRPr="006E1EC6">
        <w:rPr>
          <w:rFonts w:ascii="Arial" w:hAnsi="Arial" w:cs="Arial"/>
          <w:sz w:val="24"/>
        </w:rPr>
        <w:t>E</w:t>
      </w:r>
      <w:r>
        <w:rPr>
          <w:rFonts w:ascii="Arial" w:hAnsi="Arial" w:cs="Arial"/>
          <w:sz w:val="24"/>
        </w:rPr>
        <w:t>n el</w:t>
      </w:r>
      <w:r w:rsidRPr="006E1EC6">
        <w:rPr>
          <w:rFonts w:ascii="Arial" w:hAnsi="Arial" w:cs="Arial"/>
          <w:sz w:val="24"/>
        </w:rPr>
        <w:t xml:space="preserve"> caso Alvarado Espinoza y otros vs. México </w:t>
      </w:r>
      <w:r>
        <w:rPr>
          <w:rFonts w:ascii="Arial" w:hAnsi="Arial" w:cs="Arial"/>
          <w:sz w:val="24"/>
        </w:rPr>
        <w:t>se resolvió la</w:t>
      </w:r>
      <w:r w:rsidRPr="006E1EC6">
        <w:rPr>
          <w:rFonts w:ascii="Arial" w:hAnsi="Arial" w:cs="Arial"/>
          <w:sz w:val="24"/>
        </w:rPr>
        <w:t xml:space="preserve"> responsabilidad del Estado mexicano con motivo de la desaparición forzada de </w:t>
      </w:r>
      <w:proofErr w:type="spellStart"/>
      <w:r w:rsidRPr="006E1EC6">
        <w:rPr>
          <w:rFonts w:ascii="Arial" w:hAnsi="Arial" w:cs="Arial"/>
          <w:sz w:val="24"/>
        </w:rPr>
        <w:t>Nitza</w:t>
      </w:r>
      <w:proofErr w:type="spellEnd"/>
      <w:r w:rsidRPr="006E1EC6">
        <w:rPr>
          <w:rFonts w:ascii="Arial" w:hAnsi="Arial" w:cs="Arial"/>
          <w:sz w:val="24"/>
        </w:rPr>
        <w:t xml:space="preserve"> Paola Alvarado Espinoza, José Ángel Alvarado y Rocio Irene Alvarado Reyes, por parte de agentes estatales en el Ejido Benito Juárez, Estado de Chihuahua, México, desde el 29 de diciembre de 2009, en el contexto de la implementación del Operativo Conjunto Chihuahua y la alegada lucha contra el crimen organizado en la zona. Asimismo, trata sobre los distintos factores de impunidad que según se alega han derivado en la falta de esclarecimiento de los hechos y sanción a los responsables. Asimismo, con posterioridad a las desapariciones se presentaron distintos actos de hostigamiento o amenazas en perjuicio de los familiares de los desaparecidos, quienes se vieron en la necesidad de desplazarse de su lugar de origen, lo cual habría repercutido en otras afectaciones conexas. </w:t>
      </w:r>
    </w:p>
    <w:p w14:paraId="0A951168" w14:textId="77777777" w:rsidR="00E82B3F" w:rsidRDefault="00E82B3F" w:rsidP="00E82B3F">
      <w:pPr>
        <w:pStyle w:val="Prrafodelista"/>
        <w:ind w:left="0" w:firstLine="708"/>
        <w:jc w:val="both"/>
        <w:rPr>
          <w:rFonts w:ascii="Arial" w:hAnsi="Arial" w:cs="Arial"/>
          <w:sz w:val="24"/>
        </w:rPr>
      </w:pPr>
    </w:p>
    <w:p w14:paraId="13C97476" w14:textId="77777777" w:rsidR="00E82B3F" w:rsidRPr="006E1EC6" w:rsidRDefault="00E82B3F" w:rsidP="00E82B3F">
      <w:pPr>
        <w:pStyle w:val="Prrafodelista"/>
        <w:ind w:left="0" w:firstLine="708"/>
        <w:jc w:val="both"/>
        <w:rPr>
          <w:rFonts w:ascii="Arial" w:hAnsi="Arial" w:cs="Arial"/>
          <w:sz w:val="24"/>
        </w:rPr>
      </w:pPr>
      <w:r>
        <w:rPr>
          <w:rFonts w:ascii="Arial" w:hAnsi="Arial" w:cs="Arial"/>
          <w:sz w:val="24"/>
        </w:rPr>
        <w:t xml:space="preserve">Así tenemos que el Estado Mexicano por utilizar a las Fuerzas Armadas en funciones de elementos de Seguridad Pública, </w:t>
      </w:r>
      <w:proofErr w:type="gramStart"/>
      <w:r>
        <w:rPr>
          <w:rFonts w:ascii="Arial" w:hAnsi="Arial" w:cs="Arial"/>
          <w:sz w:val="24"/>
        </w:rPr>
        <w:t>desaparecieron</w:t>
      </w:r>
      <w:proofErr w:type="gramEnd"/>
      <w:r>
        <w:rPr>
          <w:rFonts w:ascii="Arial" w:hAnsi="Arial" w:cs="Arial"/>
          <w:sz w:val="24"/>
        </w:rPr>
        <w:t xml:space="preserve"> cruelmente a tres mexicanos, lo cual se explica a detalle en la siguiente transcripción:</w:t>
      </w:r>
    </w:p>
    <w:p w14:paraId="328596C1" w14:textId="77777777" w:rsidR="00E82B3F" w:rsidRDefault="00E82B3F" w:rsidP="00E82B3F">
      <w:pPr>
        <w:pStyle w:val="Prrafodelista"/>
        <w:ind w:left="0" w:firstLine="708"/>
        <w:jc w:val="both"/>
      </w:pPr>
    </w:p>
    <w:p w14:paraId="49F53351" w14:textId="77777777" w:rsidR="00E82B3F" w:rsidRPr="008C1067" w:rsidRDefault="00E82B3F" w:rsidP="00E82B3F">
      <w:pPr>
        <w:pStyle w:val="Prrafodelista"/>
        <w:spacing w:line="240" w:lineRule="auto"/>
        <w:ind w:left="567" w:right="284"/>
        <w:jc w:val="both"/>
        <w:rPr>
          <w:rFonts w:ascii="Arial" w:hAnsi="Arial" w:cs="Arial"/>
          <w:i/>
        </w:rPr>
      </w:pPr>
      <w:r w:rsidRPr="008C1067">
        <w:rPr>
          <w:rFonts w:ascii="Arial" w:hAnsi="Arial" w:cs="Arial"/>
          <w:i/>
        </w:rPr>
        <w:t xml:space="preserve">[…]80. El 29 de diciembre de 2009, entre las 8:00 y 9:00 de la noche, José Ángel Alvarado Herrera y </w:t>
      </w:r>
      <w:proofErr w:type="spellStart"/>
      <w:r w:rsidRPr="008C1067">
        <w:rPr>
          <w:rFonts w:ascii="Arial" w:hAnsi="Arial" w:cs="Arial"/>
          <w:i/>
        </w:rPr>
        <w:t>Nitza</w:t>
      </w:r>
      <w:proofErr w:type="spellEnd"/>
      <w:r w:rsidRPr="008C1067">
        <w:rPr>
          <w:rFonts w:ascii="Arial" w:hAnsi="Arial" w:cs="Arial"/>
          <w:i/>
        </w:rPr>
        <w:t xml:space="preserve"> Paola Alvarado Espinoza se encontraban a bordo de una camioneta azul marino, doble cabina, estacionada en las afueras de la casa de la madre de Obdulia Espinoza Beltrán, esposa de José Ángel, en el Ejido Benito Juárez. </w:t>
      </w:r>
      <w:r w:rsidRPr="008C1067">
        <w:rPr>
          <w:rFonts w:ascii="Arial" w:hAnsi="Arial" w:cs="Arial"/>
          <w:i/>
        </w:rPr>
        <w:lastRenderedPageBreak/>
        <w:t xml:space="preserve">En ese momento, arribaron al lugar dos camionetas particulares126, una de ellas marca Chevrolet, doble cabina, color gris, diésel127, y la otra marca </w:t>
      </w:r>
      <w:proofErr w:type="spellStart"/>
      <w:r w:rsidRPr="008C1067">
        <w:rPr>
          <w:rFonts w:ascii="Arial" w:hAnsi="Arial" w:cs="Arial"/>
          <w:i/>
        </w:rPr>
        <w:t>Hummer</w:t>
      </w:r>
      <w:proofErr w:type="spellEnd"/>
      <w:r w:rsidRPr="008C1067">
        <w:rPr>
          <w:rFonts w:ascii="Arial" w:hAnsi="Arial" w:cs="Arial"/>
          <w:i/>
        </w:rPr>
        <w:t xml:space="preserve">, color blanco128, “caqui o </w:t>
      </w:r>
      <w:proofErr w:type="spellStart"/>
      <w:r w:rsidRPr="008C1067">
        <w:rPr>
          <w:rFonts w:ascii="Arial" w:hAnsi="Arial" w:cs="Arial"/>
          <w:i/>
        </w:rPr>
        <w:t>cafe</w:t>
      </w:r>
      <w:proofErr w:type="spellEnd"/>
      <w:r w:rsidRPr="008C1067">
        <w:rPr>
          <w:rFonts w:ascii="Arial" w:hAnsi="Arial" w:cs="Arial"/>
          <w:i/>
        </w:rPr>
        <w:t>[c]ita”129 [sic], de las cuales descendieron entre ocho y diez personas portando armas largas, cascos y gorras, sin pasamontañas130, así como uniformes de tipo militar, algunos de color arena camuflado131, “caqui como “</w:t>
      </w:r>
      <w:proofErr w:type="spellStart"/>
      <w:r w:rsidRPr="008C1067">
        <w:rPr>
          <w:rFonts w:ascii="Arial" w:hAnsi="Arial" w:cs="Arial"/>
          <w:i/>
        </w:rPr>
        <w:t>cafe</w:t>
      </w:r>
      <w:proofErr w:type="spellEnd"/>
      <w:r w:rsidRPr="008C1067">
        <w:rPr>
          <w:rFonts w:ascii="Arial" w:hAnsi="Arial" w:cs="Arial"/>
          <w:i/>
        </w:rPr>
        <w:t xml:space="preserve">[c]ito”132 “de tipo desierto” y botas del mismo color133, y otros de color verde134 y quienes los portaban tenían un acento de voz distinto al de los habitantes de la zona135 . 81. Dichos sujetos se dirigieron en su mayoría hacia el lado del conductor, en donde se encontraba </w:t>
      </w:r>
      <w:proofErr w:type="spellStart"/>
      <w:r w:rsidRPr="008C1067">
        <w:rPr>
          <w:rFonts w:ascii="Arial" w:hAnsi="Arial" w:cs="Arial"/>
          <w:i/>
        </w:rPr>
        <w:t>Nitza</w:t>
      </w:r>
      <w:proofErr w:type="spellEnd"/>
      <w:r w:rsidRPr="008C1067">
        <w:rPr>
          <w:rFonts w:ascii="Arial" w:hAnsi="Arial" w:cs="Arial"/>
          <w:i/>
        </w:rPr>
        <w:t xml:space="preserve"> Paola, mientras otro de ellos se dirigió hacia José Ángel, quien había descendido de la camioneta y se encontraba de pie junto a la cabina. Los elementos procedieron a revisar el vehículo y luego de un intercambio de palabras tomaron a </w:t>
      </w:r>
      <w:proofErr w:type="spellStart"/>
      <w:r w:rsidRPr="008C1067">
        <w:rPr>
          <w:rFonts w:ascii="Arial" w:hAnsi="Arial" w:cs="Arial"/>
          <w:i/>
        </w:rPr>
        <w:t>Nitza</w:t>
      </w:r>
      <w:proofErr w:type="spellEnd"/>
      <w:r w:rsidRPr="008C1067">
        <w:rPr>
          <w:rFonts w:ascii="Arial" w:hAnsi="Arial" w:cs="Arial"/>
          <w:i/>
        </w:rPr>
        <w:t xml:space="preserve"> Paola de los cabellos para obligarla a bajar del mismo y cuando José Ángel intentó defenderla, el sujeto que se encontraba a su lado lo golpeó en la cara con el arma que portaba, tras lo cual subieron a ambos familiares a la parte posterior de la camioneta doble cabina en que los captores arribaron al lugar de los hechos, retirándose con rumbo desconocido136 […]</w:t>
      </w:r>
    </w:p>
    <w:p w14:paraId="5EBE9605" w14:textId="77777777" w:rsidR="00E82B3F" w:rsidRPr="008C1067" w:rsidRDefault="00E82B3F" w:rsidP="00E82B3F">
      <w:pPr>
        <w:pStyle w:val="Prrafodelista"/>
        <w:spacing w:line="240" w:lineRule="auto"/>
        <w:ind w:left="567" w:right="284"/>
        <w:jc w:val="both"/>
        <w:rPr>
          <w:rFonts w:ascii="Arial" w:hAnsi="Arial" w:cs="Arial"/>
          <w:i/>
        </w:rPr>
      </w:pPr>
    </w:p>
    <w:p w14:paraId="508E37B9" w14:textId="77777777" w:rsidR="00E82B3F" w:rsidRPr="008C1067" w:rsidRDefault="00E82B3F" w:rsidP="00E82B3F">
      <w:pPr>
        <w:pStyle w:val="Prrafodelista"/>
        <w:spacing w:line="240" w:lineRule="auto"/>
        <w:ind w:left="567" w:right="284"/>
        <w:jc w:val="both"/>
        <w:rPr>
          <w:rFonts w:ascii="Arial" w:hAnsi="Arial" w:cs="Arial"/>
          <w:i/>
        </w:rPr>
      </w:pPr>
      <w:r w:rsidRPr="008C1067">
        <w:rPr>
          <w:rFonts w:ascii="Arial" w:hAnsi="Arial" w:cs="Arial"/>
          <w:i/>
        </w:rPr>
        <w:t xml:space="preserve">[…]83. El 29 de diciembre de 2009, alrededor de una hora después de la detención de </w:t>
      </w:r>
      <w:proofErr w:type="spellStart"/>
      <w:r w:rsidRPr="008C1067">
        <w:rPr>
          <w:rFonts w:ascii="Arial" w:hAnsi="Arial" w:cs="Arial"/>
          <w:i/>
        </w:rPr>
        <w:t>Nitza</w:t>
      </w:r>
      <w:proofErr w:type="spellEnd"/>
      <w:r w:rsidRPr="008C1067">
        <w:rPr>
          <w:rFonts w:ascii="Arial" w:hAnsi="Arial" w:cs="Arial"/>
          <w:i/>
        </w:rPr>
        <w:t xml:space="preserve"> Paola y José Ángel Alvarado, siendo aproximadamente las 9:00140 o 10:00 de la noche141, Rocío Irene Alvarado Reyes se encontraba descansando en compañía de sus dos hermanos A.A.R. y A.R.A.R., entonces de 13 y 11 años de edad, respectivamente; de su hija A.M.U.A, de 2 años de edad, y de su madre Patricia Reyes Rueda en su domicilio en el Ejido Benito Juárez. En ese momento, la señora Reyes Rueda escuchó que unas personas arribaron a su domicilio, por lo que procedió a asomarse por la puerta de la cocina en compañía de su hija Rocío Irene142 y observó que se trataba de individuos que vestían uniformes con características militares quienes golpearon la puerta de la entrada de la vivienda, y gritaron que ésta les fuera abierta o de lo contrario “la iban a tirar”</w:t>
      </w:r>
      <w:proofErr w:type="gramStart"/>
      <w:r w:rsidRPr="008C1067">
        <w:rPr>
          <w:rFonts w:ascii="Arial" w:hAnsi="Arial" w:cs="Arial"/>
          <w:i/>
        </w:rPr>
        <w:t>143 .</w:t>
      </w:r>
      <w:proofErr w:type="gramEnd"/>
      <w:r w:rsidRPr="008C1067">
        <w:rPr>
          <w:rFonts w:ascii="Arial" w:hAnsi="Arial" w:cs="Arial"/>
          <w:i/>
        </w:rPr>
        <w:t xml:space="preserve"> 84. Ante dicha exigencia, Rocío Irene y su madre abrieron la puerta de la vivienda y acto seguido uno de ellos empujó a la señora Reyes Rueda, ingresando […] 85. Una vez que Patricia Reyes Rueda les abrió la puerta, dichos elementos entraron al domicilio, se ubicaron en la cocina y las habitaciones153 y comenzaron a revisar los muebles, causando diversos destrozos154. Le dijeron a Rocío Irene Alvarado que se encontraba detenida155, le indicaron que se pusiera tenis156, mientras que a Patricia Reyes y los tres menores de edad les ordenaron que se encerraran en el baño. La señora Reyes Rueda preguntó a los elementos el motivo por el cuál su hija Rocío Irene estaba siendo arrestada, a lo que contestaron ordenándole que guardara silencio157. Antes de su partida, Rocío Irene manifestó a sus familiares “que no se preocuparan”, “que todo iba a estar bien”, y “que enseguida volvería”158, tras lo cual salió del domicilio a manos de sus captores. A la fecha, el paradero de Rocío Irene Alvarado ha sido desconocido</w:t>
      </w:r>
      <w:proofErr w:type="gramStart"/>
      <w:r w:rsidRPr="008C1067">
        <w:rPr>
          <w:rFonts w:ascii="Arial" w:hAnsi="Arial" w:cs="Arial"/>
          <w:i/>
        </w:rPr>
        <w:t>.[</w:t>
      </w:r>
      <w:proofErr w:type="gramEnd"/>
      <w:r w:rsidRPr="008C1067">
        <w:rPr>
          <w:rFonts w:ascii="Arial" w:hAnsi="Arial" w:cs="Arial"/>
          <w:i/>
        </w:rPr>
        <w:t>…]</w:t>
      </w:r>
    </w:p>
    <w:p w14:paraId="7AFCA259" w14:textId="77777777" w:rsidR="00E82B3F" w:rsidRDefault="00E82B3F" w:rsidP="00E82B3F">
      <w:pPr>
        <w:pStyle w:val="Prrafodelista"/>
        <w:spacing w:line="240" w:lineRule="auto"/>
        <w:ind w:left="567" w:right="284"/>
        <w:jc w:val="both"/>
        <w:rPr>
          <w:rFonts w:ascii="Arial" w:hAnsi="Arial" w:cs="Arial"/>
          <w:i/>
          <w:sz w:val="20"/>
          <w:szCs w:val="20"/>
        </w:rPr>
      </w:pPr>
    </w:p>
    <w:p w14:paraId="48ED30FC" w14:textId="77777777" w:rsidR="00E82B3F" w:rsidRPr="006E1EC6" w:rsidRDefault="00E82B3F" w:rsidP="00E82B3F">
      <w:pPr>
        <w:pStyle w:val="Prrafodelista"/>
        <w:ind w:left="0" w:firstLine="708"/>
        <w:jc w:val="both"/>
        <w:rPr>
          <w:rFonts w:ascii="Arial" w:hAnsi="Arial" w:cs="Arial"/>
          <w:sz w:val="24"/>
        </w:rPr>
      </w:pPr>
      <w:r>
        <w:rPr>
          <w:rFonts w:ascii="Arial" w:hAnsi="Arial" w:cs="Arial"/>
          <w:sz w:val="24"/>
        </w:rPr>
        <w:t>Ante lo anterior, se advierte la prepotencia con la que actuaron los elementos castrenses derivado de su entrenamiento y cumplimiento de órdenes a ciegas, sin respetar el derecho de audiencia de las personas. Ahora, se transcribe lo resuelto por unanimidad por la Corte Interamericana en el Caso Alvarado Espinoza y otros vs México:</w:t>
      </w:r>
    </w:p>
    <w:p w14:paraId="4E7D08BD" w14:textId="77777777" w:rsidR="00E82B3F" w:rsidRDefault="00E82B3F" w:rsidP="00E82B3F">
      <w:pPr>
        <w:pStyle w:val="Prrafodelista"/>
        <w:spacing w:line="240" w:lineRule="auto"/>
        <w:ind w:left="567" w:right="284"/>
        <w:jc w:val="both"/>
        <w:rPr>
          <w:rFonts w:ascii="Arial" w:hAnsi="Arial" w:cs="Arial"/>
          <w:i/>
          <w:sz w:val="20"/>
          <w:szCs w:val="20"/>
        </w:rPr>
      </w:pPr>
    </w:p>
    <w:p w14:paraId="2DC528A8" w14:textId="77777777" w:rsidR="00E82B3F" w:rsidRDefault="00E82B3F" w:rsidP="00E82B3F">
      <w:pPr>
        <w:pStyle w:val="Prrafodelista"/>
        <w:ind w:left="0"/>
        <w:jc w:val="both"/>
        <w:rPr>
          <w:rFonts w:ascii="Arial" w:hAnsi="Arial" w:cs="Arial"/>
          <w:sz w:val="24"/>
        </w:rPr>
      </w:pPr>
      <w:r>
        <w:rPr>
          <w:rFonts w:ascii="Arial" w:hAnsi="Arial" w:cs="Arial"/>
          <w:sz w:val="24"/>
        </w:rPr>
        <w:tab/>
      </w:r>
      <w:r w:rsidRPr="004953CA">
        <w:rPr>
          <w:rFonts w:ascii="Arial" w:hAnsi="Arial" w:cs="Arial"/>
          <w:b/>
          <w:bCs/>
          <w:sz w:val="24"/>
        </w:rPr>
        <w:t xml:space="preserve">El Estado </w:t>
      </w:r>
      <w:r>
        <w:rPr>
          <w:rFonts w:ascii="Arial" w:hAnsi="Arial" w:cs="Arial"/>
          <w:b/>
          <w:bCs/>
          <w:sz w:val="24"/>
        </w:rPr>
        <w:t xml:space="preserve">Mexicano </w:t>
      </w:r>
      <w:r w:rsidRPr="004953CA">
        <w:rPr>
          <w:rFonts w:ascii="Arial" w:hAnsi="Arial" w:cs="Arial"/>
          <w:b/>
          <w:bCs/>
          <w:sz w:val="24"/>
        </w:rPr>
        <w:t>es responsable</w:t>
      </w:r>
      <w:r>
        <w:rPr>
          <w:rFonts w:ascii="Arial" w:hAnsi="Arial" w:cs="Arial"/>
          <w:b/>
          <w:bCs/>
          <w:sz w:val="24"/>
        </w:rPr>
        <w:t xml:space="preserve">: </w:t>
      </w:r>
      <w:r>
        <w:rPr>
          <w:rFonts w:ascii="Arial" w:hAnsi="Arial" w:cs="Arial"/>
          <w:sz w:val="24"/>
        </w:rPr>
        <w:tab/>
      </w:r>
    </w:p>
    <w:p w14:paraId="7FB58161" w14:textId="77777777" w:rsidR="00E82B3F" w:rsidRPr="003A61C5" w:rsidRDefault="00E82B3F" w:rsidP="00E82B3F">
      <w:pPr>
        <w:pStyle w:val="Prrafodelista"/>
        <w:ind w:left="0"/>
        <w:jc w:val="both"/>
        <w:rPr>
          <w:rFonts w:ascii="Arial" w:hAnsi="Arial" w:cs="Arial"/>
          <w:i/>
          <w:iCs/>
          <w:szCs w:val="20"/>
        </w:rPr>
      </w:pPr>
      <w:r>
        <w:rPr>
          <w:rFonts w:ascii="Arial" w:hAnsi="Arial" w:cs="Arial"/>
          <w:sz w:val="24"/>
        </w:rPr>
        <w:tab/>
      </w:r>
      <w:r w:rsidRPr="003A61C5">
        <w:rPr>
          <w:rFonts w:ascii="Arial" w:hAnsi="Arial" w:cs="Arial"/>
          <w:i/>
          <w:iCs/>
          <w:szCs w:val="20"/>
        </w:rPr>
        <w:t xml:space="preserve">Por la desaparición forzada de </w:t>
      </w:r>
      <w:proofErr w:type="spellStart"/>
      <w:r w:rsidRPr="003A61C5">
        <w:rPr>
          <w:rFonts w:ascii="Arial" w:hAnsi="Arial" w:cs="Arial"/>
          <w:i/>
          <w:iCs/>
          <w:szCs w:val="20"/>
        </w:rPr>
        <w:t>Nitza</w:t>
      </w:r>
      <w:proofErr w:type="spellEnd"/>
      <w:r w:rsidRPr="003A61C5">
        <w:rPr>
          <w:rFonts w:ascii="Arial" w:hAnsi="Arial" w:cs="Arial"/>
          <w:i/>
          <w:iCs/>
          <w:szCs w:val="20"/>
        </w:rPr>
        <w:t xml:space="preserve"> Paola Alvarado Espinoza, José Ángel Alvarado Herrera y Rocío Irene Alvarado Reyes y, en consecuencia, por la violación de los derechos al reconocimiento de la personalidad jurídica, a la vida, a la integridad personal y a la libertad personal, reconocidos en los artículos 3, 4.1, 5.1, 5.2 y 7 de la Convención Americana, en relación con el artículo 1.1 de la misma y con lo dispuesto en el artículo </w:t>
      </w:r>
      <w:proofErr w:type="spellStart"/>
      <w:r w:rsidRPr="003A61C5">
        <w:rPr>
          <w:rFonts w:ascii="Arial" w:hAnsi="Arial" w:cs="Arial"/>
          <w:i/>
          <w:iCs/>
          <w:szCs w:val="20"/>
        </w:rPr>
        <w:t>I.a</w:t>
      </w:r>
      <w:proofErr w:type="spellEnd"/>
      <w:r w:rsidRPr="003A61C5">
        <w:rPr>
          <w:rFonts w:ascii="Arial" w:hAnsi="Arial" w:cs="Arial"/>
          <w:i/>
          <w:iCs/>
          <w:szCs w:val="20"/>
        </w:rPr>
        <w:t xml:space="preserve"> de la Convención Interamericana sobre Desaparición Forzada, en perjuicio de los desaparecidos, en los términos de los párrafos 164 a 205 de esta Sentencia. </w:t>
      </w:r>
    </w:p>
    <w:p w14:paraId="713169F6" w14:textId="77777777" w:rsidR="00E82B3F" w:rsidRPr="003A61C5" w:rsidRDefault="00E82B3F" w:rsidP="00E82B3F">
      <w:pPr>
        <w:pStyle w:val="Prrafodelista"/>
        <w:ind w:left="0"/>
        <w:jc w:val="both"/>
        <w:rPr>
          <w:rFonts w:ascii="Arial" w:hAnsi="Arial" w:cs="Arial"/>
          <w:i/>
          <w:iCs/>
          <w:szCs w:val="20"/>
        </w:rPr>
      </w:pPr>
      <w:r w:rsidRPr="003A61C5">
        <w:rPr>
          <w:rFonts w:ascii="Arial" w:hAnsi="Arial" w:cs="Arial"/>
          <w:i/>
          <w:iCs/>
          <w:szCs w:val="20"/>
        </w:rPr>
        <w:tab/>
        <w:t xml:space="preserve">Por la violación al acceso a la justicia, de conformidad con los derechos a las garantías judiciales y protección judicial, reconocidos en los artículos 8 y 25 de la Convención Americana, así como del deber de adoptar medidas internas, reconocido en el artículo 2 de la Convención Americana, y los artículos </w:t>
      </w:r>
      <w:proofErr w:type="spellStart"/>
      <w:r w:rsidRPr="003A61C5">
        <w:rPr>
          <w:rFonts w:ascii="Arial" w:hAnsi="Arial" w:cs="Arial"/>
          <w:i/>
          <w:iCs/>
          <w:szCs w:val="20"/>
        </w:rPr>
        <w:t>I.b</w:t>
      </w:r>
      <w:proofErr w:type="spellEnd"/>
      <w:r w:rsidRPr="003A61C5">
        <w:rPr>
          <w:rFonts w:ascii="Arial" w:hAnsi="Arial" w:cs="Arial"/>
          <w:i/>
          <w:iCs/>
          <w:szCs w:val="20"/>
        </w:rPr>
        <w:t xml:space="preserve"> y IX de la Convención Interamericana sobre Desaparición Forzada de Personas, en perjuicio de las personas desaparecidas, en los términos de los párrafos 212 a 259 de esta Sentencia. </w:t>
      </w:r>
    </w:p>
    <w:p w14:paraId="0FBAE8CC" w14:textId="77777777" w:rsidR="00E82B3F" w:rsidRPr="003A61C5" w:rsidRDefault="00E82B3F" w:rsidP="00E82B3F">
      <w:pPr>
        <w:pStyle w:val="Prrafodelista"/>
        <w:ind w:left="0"/>
        <w:jc w:val="both"/>
        <w:rPr>
          <w:rFonts w:ascii="Arial" w:hAnsi="Arial" w:cs="Arial"/>
          <w:i/>
          <w:iCs/>
          <w:szCs w:val="20"/>
        </w:rPr>
      </w:pPr>
      <w:r w:rsidRPr="003A61C5">
        <w:rPr>
          <w:rFonts w:ascii="Arial" w:hAnsi="Arial" w:cs="Arial"/>
          <w:i/>
          <w:iCs/>
          <w:szCs w:val="20"/>
        </w:rPr>
        <w:tab/>
        <w:t xml:space="preserve">Por la violación del derecho a la integridad personal, reconocido en el artículo 5.1 de la Convención Americana, en relación con el artículo 1.1 de la misma, en perjuicio de los familiares directos de las víctimas desaparecidas identificados, en los términos de los párrafos 265 a 267 de esta Sentencia, así como en lo particular de José Ángel Alvarado Fabela y Jaime </w:t>
      </w:r>
      <w:r w:rsidRPr="003A61C5">
        <w:rPr>
          <w:rFonts w:ascii="Arial" w:hAnsi="Arial" w:cs="Arial"/>
          <w:i/>
          <w:iCs/>
          <w:szCs w:val="20"/>
        </w:rPr>
        <w:lastRenderedPageBreak/>
        <w:t>Alvarado, y de sus grupos familiares, en los términos de los párrafos 268 a 271 de esta Sentencia.</w:t>
      </w:r>
    </w:p>
    <w:p w14:paraId="10819947" w14:textId="77777777" w:rsidR="00E82B3F" w:rsidRPr="003A61C5" w:rsidRDefault="00E82B3F" w:rsidP="00E82B3F">
      <w:pPr>
        <w:pStyle w:val="Prrafodelista"/>
        <w:ind w:left="0"/>
        <w:jc w:val="both"/>
        <w:rPr>
          <w:rFonts w:ascii="Arial" w:hAnsi="Arial" w:cs="Arial"/>
          <w:i/>
          <w:iCs/>
          <w:szCs w:val="20"/>
        </w:rPr>
      </w:pPr>
      <w:r w:rsidRPr="003A61C5">
        <w:rPr>
          <w:rFonts w:ascii="Arial" w:hAnsi="Arial" w:cs="Arial"/>
          <w:i/>
          <w:iCs/>
          <w:szCs w:val="20"/>
        </w:rPr>
        <w:tab/>
        <w:t xml:space="preserve">Por la violación de los derechos de circulación y residencia, reconocidos en los artículos 22 y 17 de la Convención Americana, en perjuicio de los grupos familiares identificados, en los términos de los párrafos 273 a 283 de esta Sentencia. </w:t>
      </w:r>
    </w:p>
    <w:p w14:paraId="56E1F0FD" w14:textId="77777777" w:rsidR="00E82B3F" w:rsidRPr="003A61C5" w:rsidRDefault="00E82B3F" w:rsidP="00E82B3F">
      <w:pPr>
        <w:pStyle w:val="Prrafodelista"/>
        <w:ind w:left="0"/>
        <w:jc w:val="both"/>
        <w:rPr>
          <w:rFonts w:ascii="Arial" w:hAnsi="Arial" w:cs="Arial"/>
          <w:i/>
          <w:iCs/>
          <w:szCs w:val="20"/>
        </w:rPr>
      </w:pPr>
      <w:r w:rsidRPr="003A61C5">
        <w:rPr>
          <w:rFonts w:ascii="Arial" w:hAnsi="Arial" w:cs="Arial"/>
          <w:i/>
          <w:iCs/>
          <w:szCs w:val="20"/>
        </w:rPr>
        <w:tab/>
        <w:t>Por la violación a los derechos a la protección de la honra y de la dignidad y derechos del niño, reconocidos en los artículos 11 y 19 de la Convención Americana, en los términos del párrafo 284 de esta Sentencia. Tampoco en relación con el artículo 7 de la Convención Interamericana para Prevenir, Sancionar y Erradicar la Violencia contra la Mujer, en los términos del párrafo 248 de la misma.</w:t>
      </w:r>
    </w:p>
    <w:p w14:paraId="34E6FC97" w14:textId="77777777" w:rsidR="00E82B3F" w:rsidRPr="003A61C5" w:rsidRDefault="00E82B3F" w:rsidP="00E82B3F">
      <w:pPr>
        <w:pStyle w:val="Prrafodelista"/>
        <w:ind w:left="0"/>
        <w:jc w:val="both"/>
        <w:rPr>
          <w:i/>
          <w:iCs/>
          <w:sz w:val="20"/>
          <w:szCs w:val="20"/>
        </w:rPr>
      </w:pPr>
    </w:p>
    <w:p w14:paraId="1C750F2A" w14:textId="77777777" w:rsidR="00E82B3F" w:rsidRPr="003A61C5" w:rsidRDefault="00E82B3F" w:rsidP="00E82B3F">
      <w:pPr>
        <w:pStyle w:val="Prrafodelista"/>
        <w:ind w:left="0"/>
        <w:jc w:val="both"/>
        <w:rPr>
          <w:rFonts w:ascii="Arial" w:hAnsi="Arial" w:cs="Arial"/>
          <w:i/>
          <w:iCs/>
          <w:szCs w:val="20"/>
        </w:rPr>
      </w:pPr>
      <w:r w:rsidRPr="003A61C5">
        <w:rPr>
          <w:rFonts w:ascii="Arial" w:hAnsi="Arial" w:cs="Arial"/>
          <w:i/>
          <w:iCs/>
          <w:szCs w:val="20"/>
        </w:rPr>
        <w:tab/>
        <w:t>Además, la Corte dispuso por unanimidad, las siguientes reparaciones y medidas de satisfacción:</w:t>
      </w:r>
    </w:p>
    <w:p w14:paraId="51D37DB9" w14:textId="77777777" w:rsidR="00E82B3F" w:rsidRPr="003A61C5" w:rsidRDefault="00E82B3F" w:rsidP="00E82B3F">
      <w:pPr>
        <w:pStyle w:val="Prrafodelista"/>
        <w:ind w:left="0"/>
        <w:jc w:val="both"/>
        <w:rPr>
          <w:rFonts w:ascii="Arial" w:hAnsi="Arial" w:cs="Arial"/>
          <w:i/>
          <w:iCs/>
          <w:szCs w:val="20"/>
        </w:rPr>
      </w:pPr>
    </w:p>
    <w:p w14:paraId="398AF647" w14:textId="77777777" w:rsidR="00E82B3F" w:rsidRPr="003A61C5" w:rsidRDefault="00E82B3F" w:rsidP="00E82B3F">
      <w:pPr>
        <w:pStyle w:val="Prrafodelista"/>
        <w:numPr>
          <w:ilvl w:val="0"/>
          <w:numId w:val="37"/>
        </w:numPr>
        <w:jc w:val="both"/>
        <w:rPr>
          <w:rFonts w:ascii="Arial" w:hAnsi="Arial" w:cs="Arial"/>
          <w:i/>
          <w:iCs/>
          <w:szCs w:val="20"/>
        </w:rPr>
      </w:pPr>
      <w:r w:rsidRPr="003A61C5">
        <w:rPr>
          <w:rFonts w:ascii="Arial" w:hAnsi="Arial" w:cs="Arial"/>
          <w:i/>
          <w:iCs/>
          <w:szCs w:val="20"/>
        </w:rPr>
        <w:t>Determinación del paradero de las víctimas</w:t>
      </w:r>
    </w:p>
    <w:p w14:paraId="2316D3FE" w14:textId="77777777" w:rsidR="00E82B3F" w:rsidRPr="003A61C5" w:rsidRDefault="00E82B3F" w:rsidP="00E82B3F">
      <w:pPr>
        <w:pStyle w:val="Prrafodelista"/>
        <w:numPr>
          <w:ilvl w:val="0"/>
          <w:numId w:val="37"/>
        </w:numPr>
        <w:jc w:val="both"/>
        <w:rPr>
          <w:rFonts w:ascii="Arial" w:hAnsi="Arial" w:cs="Arial"/>
          <w:i/>
          <w:iCs/>
          <w:szCs w:val="20"/>
        </w:rPr>
      </w:pPr>
      <w:r w:rsidRPr="003A61C5">
        <w:rPr>
          <w:rFonts w:ascii="Arial" w:hAnsi="Arial" w:cs="Arial"/>
          <w:i/>
          <w:iCs/>
          <w:szCs w:val="20"/>
        </w:rPr>
        <w:t>Investigaciones y determinación de responsabilidades</w:t>
      </w:r>
    </w:p>
    <w:p w14:paraId="3DCF74B7" w14:textId="77777777" w:rsidR="00E82B3F" w:rsidRPr="003A61C5" w:rsidRDefault="00E82B3F" w:rsidP="00E82B3F">
      <w:pPr>
        <w:pStyle w:val="Prrafodelista"/>
        <w:numPr>
          <w:ilvl w:val="0"/>
          <w:numId w:val="37"/>
        </w:numPr>
        <w:jc w:val="both"/>
        <w:rPr>
          <w:rFonts w:ascii="Arial" w:hAnsi="Arial" w:cs="Arial"/>
          <w:i/>
          <w:iCs/>
          <w:szCs w:val="20"/>
        </w:rPr>
      </w:pPr>
      <w:r w:rsidRPr="003A61C5">
        <w:rPr>
          <w:rFonts w:ascii="Arial" w:hAnsi="Arial" w:cs="Arial"/>
          <w:i/>
          <w:iCs/>
          <w:szCs w:val="20"/>
        </w:rPr>
        <w:t>Acto público de reconocimiento de responsabilidad internacional</w:t>
      </w:r>
    </w:p>
    <w:p w14:paraId="5ABD6838" w14:textId="77777777" w:rsidR="00E82B3F" w:rsidRPr="003A61C5" w:rsidRDefault="00E82B3F" w:rsidP="00E82B3F">
      <w:pPr>
        <w:pStyle w:val="Prrafodelista"/>
        <w:numPr>
          <w:ilvl w:val="0"/>
          <w:numId w:val="37"/>
        </w:numPr>
        <w:jc w:val="both"/>
        <w:rPr>
          <w:rFonts w:ascii="Arial" w:hAnsi="Arial" w:cs="Arial"/>
          <w:i/>
          <w:iCs/>
          <w:szCs w:val="20"/>
        </w:rPr>
      </w:pPr>
      <w:r w:rsidRPr="003A61C5">
        <w:rPr>
          <w:rFonts w:ascii="Arial" w:hAnsi="Arial" w:cs="Arial"/>
          <w:i/>
          <w:iCs/>
          <w:szCs w:val="20"/>
        </w:rPr>
        <w:t>Publicación y difusión de la Sentencia</w:t>
      </w:r>
    </w:p>
    <w:p w14:paraId="2F542115" w14:textId="77777777" w:rsidR="00E82B3F" w:rsidRPr="003A61C5" w:rsidRDefault="00E82B3F" w:rsidP="00E82B3F">
      <w:pPr>
        <w:pStyle w:val="Prrafodelista"/>
        <w:numPr>
          <w:ilvl w:val="0"/>
          <w:numId w:val="37"/>
        </w:numPr>
        <w:jc w:val="both"/>
        <w:rPr>
          <w:rFonts w:ascii="Arial" w:hAnsi="Arial" w:cs="Arial"/>
          <w:i/>
          <w:iCs/>
          <w:szCs w:val="20"/>
        </w:rPr>
      </w:pPr>
      <w:r w:rsidRPr="003A61C5">
        <w:rPr>
          <w:rFonts w:ascii="Arial" w:hAnsi="Arial" w:cs="Arial"/>
          <w:i/>
          <w:iCs/>
          <w:szCs w:val="20"/>
        </w:rPr>
        <w:t>Daño a los proyectos de vida</w:t>
      </w:r>
    </w:p>
    <w:p w14:paraId="4985FC51" w14:textId="77777777" w:rsidR="00E82B3F" w:rsidRPr="003A61C5" w:rsidRDefault="00E82B3F" w:rsidP="00E82B3F">
      <w:pPr>
        <w:pStyle w:val="Prrafodelista"/>
        <w:numPr>
          <w:ilvl w:val="0"/>
          <w:numId w:val="37"/>
        </w:numPr>
        <w:jc w:val="both"/>
        <w:rPr>
          <w:rFonts w:ascii="Arial" w:hAnsi="Arial" w:cs="Arial"/>
          <w:i/>
          <w:iCs/>
          <w:szCs w:val="20"/>
        </w:rPr>
      </w:pPr>
      <w:r w:rsidRPr="003A61C5">
        <w:rPr>
          <w:rFonts w:ascii="Arial" w:hAnsi="Arial" w:cs="Arial"/>
          <w:i/>
          <w:iCs/>
          <w:szCs w:val="20"/>
        </w:rPr>
        <w:t>Indemnización Compensatoria</w:t>
      </w:r>
    </w:p>
    <w:p w14:paraId="342D9986" w14:textId="77777777" w:rsidR="00E82B3F" w:rsidRDefault="00E82B3F" w:rsidP="00E82B3F">
      <w:pPr>
        <w:pStyle w:val="Prrafodelista"/>
        <w:numPr>
          <w:ilvl w:val="0"/>
          <w:numId w:val="37"/>
        </w:numPr>
        <w:jc w:val="both"/>
        <w:rPr>
          <w:rFonts w:ascii="Arial" w:hAnsi="Arial" w:cs="Arial"/>
          <w:i/>
          <w:iCs/>
          <w:szCs w:val="20"/>
        </w:rPr>
      </w:pPr>
      <w:r w:rsidRPr="003A61C5">
        <w:rPr>
          <w:rFonts w:ascii="Arial" w:hAnsi="Arial" w:cs="Arial"/>
          <w:i/>
          <w:iCs/>
          <w:szCs w:val="20"/>
        </w:rPr>
        <w:t>Indemnización del daño inmaterial</w:t>
      </w:r>
      <w:r>
        <w:rPr>
          <w:rFonts w:ascii="Arial" w:hAnsi="Arial" w:cs="Arial"/>
          <w:i/>
          <w:iCs/>
          <w:szCs w:val="20"/>
        </w:rPr>
        <w:t>.</w:t>
      </w:r>
    </w:p>
    <w:p w14:paraId="54678B4F" w14:textId="77777777" w:rsidR="00E82B3F" w:rsidRPr="003A61C5" w:rsidRDefault="00E82B3F" w:rsidP="00E82B3F">
      <w:pPr>
        <w:pStyle w:val="Prrafodelista"/>
        <w:jc w:val="both"/>
        <w:rPr>
          <w:rFonts w:ascii="Arial" w:hAnsi="Arial" w:cs="Arial"/>
          <w:i/>
          <w:iCs/>
          <w:szCs w:val="20"/>
        </w:rPr>
      </w:pPr>
    </w:p>
    <w:p w14:paraId="2358498A" w14:textId="77777777" w:rsidR="00E82B3F" w:rsidRPr="00677602" w:rsidRDefault="00E82B3F" w:rsidP="00E82B3F">
      <w:pPr>
        <w:pStyle w:val="Prrafodelista"/>
        <w:ind w:left="0"/>
        <w:jc w:val="both"/>
        <w:rPr>
          <w:rFonts w:ascii="Arial" w:hAnsi="Arial" w:cs="Arial"/>
          <w:sz w:val="24"/>
          <w:szCs w:val="24"/>
        </w:rPr>
      </w:pPr>
      <w:r>
        <w:rPr>
          <w:rFonts w:ascii="Arial" w:hAnsi="Arial" w:cs="Arial"/>
          <w:sz w:val="24"/>
          <w:szCs w:val="24"/>
        </w:rPr>
        <w:tab/>
      </w:r>
      <w:r w:rsidRPr="00677602">
        <w:rPr>
          <w:rFonts w:ascii="Arial" w:hAnsi="Arial" w:cs="Arial"/>
          <w:sz w:val="24"/>
          <w:szCs w:val="24"/>
        </w:rPr>
        <w:t>Ahora, pasamos a señalar las partes de la sentencia</w:t>
      </w:r>
      <w:r>
        <w:rPr>
          <w:rFonts w:ascii="Arial" w:hAnsi="Arial" w:cs="Arial"/>
          <w:sz w:val="24"/>
          <w:szCs w:val="24"/>
        </w:rPr>
        <w:t xml:space="preserve"> del Caso Alvarado Espinoza</w:t>
      </w:r>
      <w:r w:rsidRPr="00677602">
        <w:rPr>
          <w:rFonts w:ascii="Arial" w:hAnsi="Arial" w:cs="Arial"/>
          <w:sz w:val="24"/>
          <w:szCs w:val="24"/>
        </w:rPr>
        <w:t xml:space="preserve"> que resaltan</w:t>
      </w:r>
      <w:r>
        <w:rPr>
          <w:rFonts w:ascii="Arial" w:hAnsi="Arial" w:cs="Arial"/>
          <w:sz w:val="24"/>
          <w:szCs w:val="24"/>
        </w:rPr>
        <w:t xml:space="preserve"> con mayor fuerza</w:t>
      </w:r>
      <w:r w:rsidRPr="00677602">
        <w:rPr>
          <w:rFonts w:ascii="Arial" w:hAnsi="Arial" w:cs="Arial"/>
          <w:sz w:val="24"/>
          <w:szCs w:val="24"/>
        </w:rPr>
        <w:t xml:space="preserve"> en cuanto al tema del caso concreto. </w:t>
      </w:r>
      <w:r>
        <w:rPr>
          <w:rFonts w:ascii="Arial" w:hAnsi="Arial" w:cs="Arial"/>
          <w:sz w:val="24"/>
          <w:szCs w:val="24"/>
        </w:rPr>
        <w:t>Para que se compare y se percate que e</w:t>
      </w:r>
      <w:r w:rsidRPr="00677602">
        <w:rPr>
          <w:rFonts w:ascii="Arial" w:hAnsi="Arial" w:cs="Arial"/>
          <w:sz w:val="24"/>
          <w:szCs w:val="24"/>
        </w:rPr>
        <w:t>l acto reclamado no observa la sentencia</w:t>
      </w:r>
      <w:r>
        <w:rPr>
          <w:rFonts w:ascii="Arial" w:hAnsi="Arial" w:cs="Arial"/>
          <w:sz w:val="24"/>
          <w:szCs w:val="24"/>
        </w:rPr>
        <w:t xml:space="preserve"> aludida</w:t>
      </w:r>
      <w:r w:rsidRPr="00677602">
        <w:rPr>
          <w:rFonts w:ascii="Arial" w:hAnsi="Arial" w:cs="Arial"/>
          <w:sz w:val="24"/>
          <w:szCs w:val="24"/>
        </w:rPr>
        <w:t>, sino que la transgrede, toda vez que</w:t>
      </w:r>
      <w:r>
        <w:rPr>
          <w:rFonts w:ascii="Arial" w:hAnsi="Arial" w:cs="Arial"/>
          <w:sz w:val="24"/>
          <w:szCs w:val="24"/>
        </w:rPr>
        <w:t xml:space="preserve"> el presidente y los secretarios responsables</w:t>
      </w:r>
      <w:r w:rsidRPr="00677602">
        <w:rPr>
          <w:rFonts w:ascii="Arial" w:hAnsi="Arial" w:cs="Arial"/>
          <w:sz w:val="24"/>
          <w:szCs w:val="24"/>
        </w:rPr>
        <w:t xml:space="preserve"> simula</w:t>
      </w:r>
      <w:r>
        <w:rPr>
          <w:rFonts w:ascii="Arial" w:hAnsi="Arial" w:cs="Arial"/>
          <w:sz w:val="24"/>
          <w:szCs w:val="24"/>
        </w:rPr>
        <w:t>ron</w:t>
      </w:r>
      <w:r w:rsidRPr="00677602">
        <w:rPr>
          <w:rFonts w:ascii="Arial" w:hAnsi="Arial" w:cs="Arial"/>
          <w:sz w:val="24"/>
          <w:szCs w:val="24"/>
        </w:rPr>
        <w:t xml:space="preserve"> astutamente</w:t>
      </w:r>
      <w:r>
        <w:rPr>
          <w:rFonts w:ascii="Arial" w:hAnsi="Arial" w:cs="Arial"/>
          <w:sz w:val="24"/>
          <w:szCs w:val="24"/>
        </w:rPr>
        <w:t>,</w:t>
      </w:r>
      <w:r w:rsidRPr="00677602">
        <w:rPr>
          <w:rFonts w:ascii="Arial" w:hAnsi="Arial" w:cs="Arial"/>
          <w:sz w:val="24"/>
          <w:szCs w:val="24"/>
        </w:rPr>
        <w:t xml:space="preserve"> </w:t>
      </w:r>
      <w:r>
        <w:rPr>
          <w:rFonts w:ascii="Arial" w:hAnsi="Arial" w:cs="Arial"/>
          <w:sz w:val="24"/>
          <w:szCs w:val="24"/>
        </w:rPr>
        <w:t xml:space="preserve">pretendiendo que con sólo mencionar cinco palabras su acuerdo tenga </w:t>
      </w:r>
      <w:r w:rsidRPr="00677602">
        <w:rPr>
          <w:rFonts w:ascii="Arial" w:hAnsi="Arial" w:cs="Arial"/>
          <w:sz w:val="24"/>
          <w:szCs w:val="24"/>
        </w:rPr>
        <w:t>un acercamiento a la sentencia interamericana, sin embargo,</w:t>
      </w:r>
      <w:r>
        <w:rPr>
          <w:rFonts w:ascii="Arial" w:hAnsi="Arial" w:cs="Arial"/>
          <w:sz w:val="24"/>
          <w:szCs w:val="24"/>
        </w:rPr>
        <w:t xml:space="preserve"> el acuerdo reclamado está totalmente alejado de las resoluciones de la Corte Interamericana de Derechos Humanos, ya que</w:t>
      </w:r>
      <w:r w:rsidRPr="00677602">
        <w:rPr>
          <w:rFonts w:ascii="Arial" w:hAnsi="Arial" w:cs="Arial"/>
          <w:sz w:val="24"/>
          <w:szCs w:val="24"/>
        </w:rPr>
        <w:t xml:space="preserve"> en el fondo</w:t>
      </w:r>
      <w:r>
        <w:rPr>
          <w:rFonts w:ascii="Arial" w:hAnsi="Arial" w:cs="Arial"/>
          <w:sz w:val="24"/>
          <w:szCs w:val="24"/>
        </w:rPr>
        <w:t>, el acuerdo reclamado</w:t>
      </w:r>
      <w:r w:rsidRPr="00677602">
        <w:rPr>
          <w:rFonts w:ascii="Arial" w:hAnsi="Arial" w:cs="Arial"/>
          <w:sz w:val="24"/>
          <w:szCs w:val="24"/>
        </w:rPr>
        <w:t xml:space="preserve"> no es congruente, es una norma general incongruente en sí misma. </w:t>
      </w:r>
    </w:p>
    <w:p w14:paraId="0D0A05EF" w14:textId="77777777" w:rsidR="00E82B3F" w:rsidRDefault="00E82B3F" w:rsidP="00E82B3F">
      <w:pPr>
        <w:pStyle w:val="Prrafodelista"/>
        <w:spacing w:line="240" w:lineRule="auto"/>
        <w:ind w:left="567" w:right="284"/>
        <w:jc w:val="both"/>
      </w:pPr>
    </w:p>
    <w:p w14:paraId="54924A49" w14:textId="77777777" w:rsidR="00E82B3F" w:rsidRPr="00802F88" w:rsidRDefault="00E82B3F" w:rsidP="00E82B3F">
      <w:pPr>
        <w:pStyle w:val="Prrafodelista"/>
        <w:spacing w:line="240" w:lineRule="auto"/>
        <w:ind w:left="567" w:right="284"/>
        <w:jc w:val="both"/>
        <w:rPr>
          <w:rFonts w:ascii="Arial" w:hAnsi="Arial" w:cs="Arial"/>
          <w:i/>
          <w:sz w:val="20"/>
        </w:rPr>
      </w:pPr>
      <w:r>
        <w:t>[…]</w:t>
      </w:r>
      <w:r w:rsidRPr="00802F88">
        <w:rPr>
          <w:rFonts w:ascii="Arial" w:hAnsi="Arial" w:cs="Arial"/>
          <w:i/>
          <w:sz w:val="20"/>
        </w:rPr>
        <w:t xml:space="preserve">179. En concreto, este Tribunal se ha referido en distintas ocasiones a la participación de fuerzas armadas en la alteración del orden público. En este sentido, el Tribunal recuerda que en el Caso Montero Aranguren y otros Vs. Venezuela estableció que si bien los Estados partes de la Convención podrían </w:t>
      </w:r>
      <w:r w:rsidRPr="00F2362A">
        <w:rPr>
          <w:rFonts w:ascii="Arial" w:hAnsi="Arial" w:cs="Arial"/>
          <w:b/>
          <w:i/>
          <w:sz w:val="20"/>
          <w:u w:val="single"/>
        </w:rPr>
        <w:t>desplegar a las fuerzas armadas para desempeñar tareas ajenas a las propiamente relacionadas con conflictos armados</w:t>
      </w:r>
      <w:r w:rsidRPr="00802F88">
        <w:rPr>
          <w:rFonts w:ascii="Arial" w:hAnsi="Arial" w:cs="Arial"/>
          <w:i/>
          <w:sz w:val="20"/>
        </w:rPr>
        <w:t xml:space="preserve">, dicho empleo </w:t>
      </w:r>
      <w:r w:rsidRPr="00F2362A">
        <w:rPr>
          <w:rFonts w:ascii="Arial" w:hAnsi="Arial" w:cs="Arial"/>
          <w:b/>
          <w:i/>
          <w:sz w:val="20"/>
          <w:u w:val="single"/>
        </w:rPr>
        <w:t>debe limitarse al máximo y responder a criterios de estricta excepcionalidad para enfrentar situaciones de criminalidad o violencia interna, dado que el entrenamiento que reciben las fuerzas militares está dirigido a derrotar al enemigo y no a la protección y control de civiles, entrenamiento que es propio de los entes policiales</w:t>
      </w:r>
      <w:r w:rsidRPr="00802F88">
        <w:rPr>
          <w:rFonts w:ascii="Arial" w:hAnsi="Arial" w:cs="Arial"/>
          <w:i/>
          <w:sz w:val="20"/>
        </w:rPr>
        <w:t>397 .[…]</w:t>
      </w:r>
    </w:p>
    <w:p w14:paraId="0B38AFA9" w14:textId="77777777" w:rsidR="00E82B3F" w:rsidRPr="00802F88" w:rsidRDefault="00E82B3F" w:rsidP="00E82B3F">
      <w:pPr>
        <w:pStyle w:val="Prrafodelista"/>
        <w:spacing w:line="240" w:lineRule="auto"/>
        <w:ind w:left="567" w:right="284"/>
        <w:jc w:val="both"/>
        <w:rPr>
          <w:rFonts w:ascii="Arial" w:hAnsi="Arial" w:cs="Arial"/>
          <w:i/>
          <w:sz w:val="20"/>
        </w:rPr>
      </w:pPr>
    </w:p>
    <w:p w14:paraId="18B79168" w14:textId="77777777" w:rsidR="00E82B3F" w:rsidRDefault="00E82B3F" w:rsidP="00E82B3F">
      <w:pPr>
        <w:pStyle w:val="Prrafodelista"/>
        <w:spacing w:line="240" w:lineRule="auto"/>
        <w:ind w:left="567" w:right="284"/>
        <w:jc w:val="both"/>
      </w:pPr>
      <w:r w:rsidRPr="00802F88">
        <w:rPr>
          <w:rFonts w:ascii="Arial" w:hAnsi="Arial" w:cs="Arial"/>
          <w:i/>
          <w:sz w:val="20"/>
        </w:rPr>
        <w:t xml:space="preserve">[…]Lo anterior fue reiterado también en el caso Osorio Rivera Vs. Perú, en el supuesto de otorgar a las Fuerzas Armadas funciones dirigidas a la restricción de la libertad personal de </w:t>
      </w:r>
      <w:proofErr w:type="gramStart"/>
      <w:r w:rsidRPr="00802F88">
        <w:rPr>
          <w:rFonts w:ascii="Arial" w:hAnsi="Arial" w:cs="Arial"/>
          <w:i/>
          <w:sz w:val="20"/>
        </w:rPr>
        <w:t>civiles399 .</w:t>
      </w:r>
      <w:proofErr w:type="gramEnd"/>
      <w:r w:rsidRPr="00802F88">
        <w:rPr>
          <w:rFonts w:ascii="Arial" w:hAnsi="Arial" w:cs="Arial"/>
          <w:i/>
          <w:sz w:val="20"/>
        </w:rPr>
        <w:t xml:space="preserve"> 181. Adicionalmente, sobre este tema se han pronunciado el Comité de Derechos Humanos400 , el Comité contra la Tortura y otros Tratos o Penas Crueles, Inhumanos o Degradantes401, el Grupo de Trabajo sobre Desapariciones Forzadas o Involuntarias402 , conjuntamente los Relatores Especiales sobre la Tortura y sobre las Ejecuciones Extrajudiciales, Sumarias o Arbitrarias403 , la Oficina en Colombia del Alto Comisionado de las Naciones Unidas para los Derechos Humanos404 , así como la Comisión Interamericana de Derechos Humanos405, entre otros. Dichos organismos y procedimientos especiales internacionales coinciden en señalar en que </w:t>
      </w:r>
      <w:r w:rsidRPr="00F2362A">
        <w:rPr>
          <w:rFonts w:ascii="Arial" w:hAnsi="Arial" w:cs="Arial"/>
          <w:b/>
          <w:i/>
          <w:sz w:val="20"/>
          <w:u w:val="single"/>
        </w:rPr>
        <w:t>la participación de las fuerzas armadas en labores de policía judicial o ministerial puede resultar contrario a determinados principios del Estado de Derecho tales como la separación de poderes, independencia y autonomía de los tribunales judiciales y la subordinación a las autoridades civiles. Por tanto, concuerdan en la necesidad de implementar mecanismos de rendición de cuentas a través de cuerpos independientes de todas las fuerzas de seguridad relacionadas con operativos y tareas de orden público</w:t>
      </w:r>
      <w:r w:rsidRPr="00802F88">
        <w:rPr>
          <w:rFonts w:ascii="Arial" w:hAnsi="Arial" w:cs="Arial"/>
          <w:i/>
          <w:sz w:val="20"/>
        </w:rPr>
        <w:t>406</w:t>
      </w:r>
      <w:r w:rsidRPr="00802F88">
        <w:rPr>
          <w:sz w:val="20"/>
        </w:rPr>
        <w:t xml:space="preserve"> </w:t>
      </w:r>
      <w:r>
        <w:t>[…]</w:t>
      </w:r>
    </w:p>
    <w:p w14:paraId="5552004C" w14:textId="77777777" w:rsidR="00E82B3F" w:rsidRDefault="00E82B3F" w:rsidP="00E82B3F">
      <w:pPr>
        <w:pStyle w:val="Prrafodelista"/>
        <w:ind w:left="0" w:firstLine="567"/>
        <w:jc w:val="both"/>
        <w:rPr>
          <w:rFonts w:ascii="Arial" w:hAnsi="Arial" w:cs="Arial"/>
          <w:sz w:val="24"/>
        </w:rPr>
      </w:pPr>
    </w:p>
    <w:p w14:paraId="45E24252" w14:textId="77777777" w:rsidR="00E82B3F" w:rsidRPr="00C42B84" w:rsidRDefault="00E82B3F" w:rsidP="00E82B3F">
      <w:pPr>
        <w:pStyle w:val="Prrafodelista"/>
        <w:ind w:left="0" w:firstLine="567"/>
        <w:jc w:val="both"/>
        <w:rPr>
          <w:rFonts w:ascii="Arial" w:hAnsi="Arial" w:cs="Arial"/>
          <w:sz w:val="24"/>
        </w:rPr>
      </w:pPr>
      <w:r>
        <w:rPr>
          <w:rFonts w:ascii="Arial" w:hAnsi="Arial" w:cs="Arial"/>
          <w:sz w:val="24"/>
        </w:rPr>
        <w:t xml:space="preserve">En ese tenor, la Corte Interamericana de Derechos Humanos, estableció y reafirmo en la sentencia Alvarado Espinoza y otros vs México, </w:t>
      </w:r>
      <w:r w:rsidRPr="00C42B84">
        <w:rPr>
          <w:rFonts w:ascii="Arial" w:hAnsi="Arial" w:cs="Arial"/>
          <w:sz w:val="24"/>
        </w:rPr>
        <w:t xml:space="preserve">como regla general, que </w:t>
      </w:r>
      <w:r w:rsidRPr="00F2362A">
        <w:rPr>
          <w:rFonts w:ascii="Arial" w:hAnsi="Arial" w:cs="Arial"/>
          <w:b/>
          <w:sz w:val="24"/>
          <w:u w:val="single"/>
        </w:rPr>
        <w:t>el mantenimiento del orden público interno y la seguridad ciudadana deben estar primariamente reservados a los cuerpos policiales civiles</w:t>
      </w:r>
      <w:r w:rsidRPr="00C42B84">
        <w:rPr>
          <w:rFonts w:ascii="Arial" w:hAnsi="Arial" w:cs="Arial"/>
          <w:sz w:val="24"/>
        </w:rPr>
        <w:t xml:space="preserve">. No obstante, cuando excepcionalmente intervengan en tareas de seguridad, la participación de las fuerzas armadas debe ser: </w:t>
      </w:r>
    </w:p>
    <w:p w14:paraId="14170E0C" w14:textId="77777777" w:rsidR="00E82B3F" w:rsidRPr="00C42B84" w:rsidRDefault="00E82B3F" w:rsidP="00E82B3F">
      <w:pPr>
        <w:pStyle w:val="Prrafodelista"/>
        <w:ind w:left="0"/>
        <w:jc w:val="both"/>
        <w:rPr>
          <w:rFonts w:ascii="Arial" w:hAnsi="Arial" w:cs="Arial"/>
          <w:sz w:val="24"/>
        </w:rPr>
      </w:pPr>
    </w:p>
    <w:p w14:paraId="5382960F" w14:textId="77777777" w:rsidR="00E82B3F" w:rsidRPr="00C42B84" w:rsidRDefault="00E82B3F" w:rsidP="00E82B3F">
      <w:pPr>
        <w:pStyle w:val="Prrafodelista"/>
        <w:ind w:left="0"/>
        <w:jc w:val="both"/>
        <w:rPr>
          <w:rFonts w:ascii="Arial" w:hAnsi="Arial" w:cs="Arial"/>
          <w:sz w:val="24"/>
        </w:rPr>
      </w:pPr>
      <w:r w:rsidRPr="00C42B84">
        <w:rPr>
          <w:rFonts w:ascii="Arial" w:hAnsi="Arial" w:cs="Arial"/>
          <w:sz w:val="24"/>
        </w:rPr>
        <w:t xml:space="preserve">a) </w:t>
      </w:r>
      <w:r w:rsidRPr="00C42B84">
        <w:rPr>
          <w:rFonts w:ascii="Arial" w:hAnsi="Arial" w:cs="Arial"/>
          <w:b/>
          <w:sz w:val="24"/>
        </w:rPr>
        <w:t>Extraordinaria</w:t>
      </w:r>
      <w:r w:rsidRPr="00C42B84">
        <w:rPr>
          <w:rFonts w:ascii="Arial" w:hAnsi="Arial" w:cs="Arial"/>
          <w:sz w:val="24"/>
        </w:rPr>
        <w:t xml:space="preserve">, de manera que toda intervención se encuentre justificada y resulte excepcional, temporal y restringida a lo estrictamente necesario en las circunstancias del caso; </w:t>
      </w:r>
    </w:p>
    <w:p w14:paraId="53C3A406" w14:textId="77777777" w:rsidR="00E82B3F" w:rsidRPr="00C42B84" w:rsidRDefault="00E82B3F" w:rsidP="00E82B3F">
      <w:pPr>
        <w:pStyle w:val="Prrafodelista"/>
        <w:ind w:left="0"/>
        <w:jc w:val="both"/>
        <w:rPr>
          <w:rFonts w:ascii="Arial" w:hAnsi="Arial" w:cs="Arial"/>
          <w:sz w:val="24"/>
        </w:rPr>
      </w:pPr>
    </w:p>
    <w:p w14:paraId="13786D93" w14:textId="77777777" w:rsidR="00E82B3F" w:rsidRPr="00C42B84" w:rsidRDefault="00E82B3F" w:rsidP="00E82B3F">
      <w:pPr>
        <w:pStyle w:val="Prrafodelista"/>
        <w:ind w:left="0"/>
        <w:jc w:val="both"/>
        <w:rPr>
          <w:rFonts w:ascii="Arial" w:hAnsi="Arial" w:cs="Arial"/>
          <w:sz w:val="24"/>
        </w:rPr>
      </w:pPr>
      <w:r w:rsidRPr="00C42B84">
        <w:rPr>
          <w:rFonts w:ascii="Arial" w:hAnsi="Arial" w:cs="Arial"/>
          <w:sz w:val="24"/>
        </w:rPr>
        <w:t xml:space="preserve">b) </w:t>
      </w:r>
      <w:r w:rsidRPr="00C42B84">
        <w:rPr>
          <w:rFonts w:ascii="Arial" w:hAnsi="Arial" w:cs="Arial"/>
          <w:b/>
          <w:sz w:val="24"/>
        </w:rPr>
        <w:t>Subordinada y complementaria</w:t>
      </w:r>
      <w:r w:rsidRPr="00C42B84">
        <w:rPr>
          <w:rFonts w:ascii="Arial" w:hAnsi="Arial" w:cs="Arial"/>
          <w:sz w:val="24"/>
        </w:rPr>
        <w:t xml:space="preserve">, a las labores de las corporaciones civiles, sin que sus labores puedan extenderse a las facultades propias de las instituciones de procuración de justicia o policía judicial o ministerial; </w:t>
      </w:r>
    </w:p>
    <w:p w14:paraId="0E104964" w14:textId="77777777" w:rsidR="00E82B3F" w:rsidRPr="00C42B84" w:rsidRDefault="00E82B3F" w:rsidP="00E82B3F">
      <w:pPr>
        <w:pStyle w:val="Prrafodelista"/>
        <w:ind w:left="0"/>
        <w:jc w:val="both"/>
        <w:rPr>
          <w:rFonts w:ascii="Arial" w:hAnsi="Arial" w:cs="Arial"/>
          <w:sz w:val="24"/>
        </w:rPr>
      </w:pPr>
    </w:p>
    <w:p w14:paraId="21DC4285" w14:textId="77777777" w:rsidR="00E82B3F" w:rsidRPr="00C42B84" w:rsidRDefault="00E82B3F" w:rsidP="00E82B3F">
      <w:pPr>
        <w:pStyle w:val="Prrafodelista"/>
        <w:ind w:left="0"/>
        <w:jc w:val="both"/>
        <w:rPr>
          <w:rFonts w:ascii="Arial" w:hAnsi="Arial" w:cs="Arial"/>
          <w:sz w:val="24"/>
        </w:rPr>
      </w:pPr>
      <w:r w:rsidRPr="00C42B84">
        <w:rPr>
          <w:rFonts w:ascii="Arial" w:hAnsi="Arial" w:cs="Arial"/>
          <w:sz w:val="24"/>
        </w:rPr>
        <w:t xml:space="preserve">c) </w:t>
      </w:r>
      <w:r w:rsidRPr="00C42B84">
        <w:rPr>
          <w:rFonts w:ascii="Arial" w:hAnsi="Arial" w:cs="Arial"/>
          <w:b/>
          <w:sz w:val="24"/>
        </w:rPr>
        <w:t>Regulada</w:t>
      </w:r>
      <w:r w:rsidRPr="00C42B84">
        <w:rPr>
          <w:rFonts w:ascii="Arial" w:hAnsi="Arial" w:cs="Arial"/>
          <w:sz w:val="24"/>
        </w:rPr>
        <w:t xml:space="preserve">, mediante mecanismos legales y protocolos sobre el uso de la fuerza, bajo los principios de excepcionalidad, proporcionalidad y absoluta necesidad y de acuerdo con la respectiva capacitación en la materia, y </w:t>
      </w:r>
    </w:p>
    <w:p w14:paraId="19F09CD8" w14:textId="77777777" w:rsidR="00E82B3F" w:rsidRPr="00C42B84" w:rsidRDefault="00E82B3F" w:rsidP="00E82B3F">
      <w:pPr>
        <w:pStyle w:val="Prrafodelista"/>
        <w:ind w:left="0"/>
        <w:jc w:val="both"/>
        <w:rPr>
          <w:rFonts w:ascii="Arial" w:hAnsi="Arial" w:cs="Arial"/>
          <w:sz w:val="24"/>
        </w:rPr>
      </w:pPr>
    </w:p>
    <w:p w14:paraId="3EBDCA9C" w14:textId="77777777" w:rsidR="00E82B3F" w:rsidRDefault="00E82B3F" w:rsidP="00E82B3F">
      <w:pPr>
        <w:pStyle w:val="Prrafodelista"/>
        <w:ind w:left="0"/>
        <w:jc w:val="both"/>
        <w:rPr>
          <w:rFonts w:ascii="Arial" w:hAnsi="Arial" w:cs="Arial"/>
          <w:sz w:val="24"/>
        </w:rPr>
      </w:pPr>
      <w:r w:rsidRPr="00C42B84">
        <w:rPr>
          <w:rFonts w:ascii="Arial" w:hAnsi="Arial" w:cs="Arial"/>
          <w:sz w:val="24"/>
        </w:rPr>
        <w:t xml:space="preserve">d) </w:t>
      </w:r>
      <w:r w:rsidRPr="00C42B84">
        <w:rPr>
          <w:rFonts w:ascii="Arial" w:hAnsi="Arial" w:cs="Arial"/>
          <w:b/>
          <w:sz w:val="24"/>
        </w:rPr>
        <w:t>Fiscalizada</w:t>
      </w:r>
      <w:r w:rsidRPr="00C42B84">
        <w:rPr>
          <w:rFonts w:ascii="Arial" w:hAnsi="Arial" w:cs="Arial"/>
          <w:sz w:val="24"/>
        </w:rPr>
        <w:t>, por órganos civiles competentes, independientes y técnicamente capaces</w:t>
      </w:r>
      <w:r>
        <w:rPr>
          <w:rFonts w:ascii="Arial" w:hAnsi="Arial" w:cs="Arial"/>
          <w:sz w:val="24"/>
        </w:rPr>
        <w:t>.</w:t>
      </w:r>
    </w:p>
    <w:p w14:paraId="121288BC" w14:textId="77777777" w:rsidR="00E82B3F" w:rsidRDefault="00E82B3F" w:rsidP="00E82B3F">
      <w:pPr>
        <w:pStyle w:val="NormalWeb"/>
        <w:shd w:val="clear" w:color="auto" w:fill="FFFFFF"/>
        <w:spacing w:line="276" w:lineRule="auto"/>
        <w:jc w:val="both"/>
        <w:textAlignment w:val="baseline"/>
        <w:rPr>
          <w:rFonts w:ascii="Arial" w:hAnsi="Arial" w:cs="Arial"/>
        </w:rPr>
      </w:pPr>
      <w:r>
        <w:rPr>
          <w:rFonts w:ascii="Arial" w:hAnsi="Arial" w:cs="Arial"/>
        </w:rPr>
        <w:tab/>
        <w:t xml:space="preserve">Los siguientes argumentos, que adopto como conceptos de violación para defenderme en el presente amparo, demuestran claramente: </w:t>
      </w:r>
    </w:p>
    <w:p w14:paraId="6C144167" w14:textId="77777777" w:rsidR="00E82B3F" w:rsidRPr="003E2D25" w:rsidRDefault="00E82B3F" w:rsidP="00E82B3F">
      <w:pPr>
        <w:pStyle w:val="NormalWeb"/>
        <w:shd w:val="clear" w:color="auto" w:fill="FFFFFF"/>
        <w:spacing w:line="276" w:lineRule="auto"/>
        <w:jc w:val="both"/>
        <w:textAlignment w:val="baseline"/>
        <w:rPr>
          <w:rFonts w:ascii="Arial" w:hAnsi="Arial" w:cs="Arial"/>
        </w:rPr>
      </w:pPr>
      <w:r>
        <w:rPr>
          <w:rFonts w:ascii="Arial" w:hAnsi="Arial" w:cs="Arial"/>
        </w:rPr>
        <w:tab/>
        <w:t>“</w:t>
      </w:r>
      <w:r w:rsidRPr="003E2D25">
        <w:rPr>
          <w:rFonts w:ascii="Arial" w:hAnsi="Arial" w:cs="Arial"/>
        </w:rPr>
        <w:t>Los parámetros</w:t>
      </w:r>
      <w:r>
        <w:rPr>
          <w:rFonts w:ascii="Arial" w:hAnsi="Arial" w:cs="Arial"/>
        </w:rPr>
        <w:t xml:space="preserve"> extraordinaria,</w:t>
      </w:r>
      <w:r w:rsidRPr="003E2D25">
        <w:rPr>
          <w:rFonts w:ascii="Arial" w:hAnsi="Arial" w:cs="Arial"/>
        </w:rPr>
        <w:t xml:space="preserve"> </w:t>
      </w:r>
      <w:r>
        <w:rPr>
          <w:rFonts w:ascii="Arial" w:hAnsi="Arial" w:cs="Arial"/>
        </w:rPr>
        <w:t xml:space="preserve">subordinada y complementaria, regulada </w:t>
      </w:r>
      <w:proofErr w:type="gramStart"/>
      <w:r>
        <w:rPr>
          <w:rFonts w:ascii="Arial" w:hAnsi="Arial" w:cs="Arial"/>
        </w:rPr>
        <w:t>y  fiscalizada</w:t>
      </w:r>
      <w:proofErr w:type="gramEnd"/>
      <w:r>
        <w:rPr>
          <w:rFonts w:ascii="Arial" w:hAnsi="Arial" w:cs="Arial"/>
        </w:rPr>
        <w:t>,</w:t>
      </w:r>
      <w:r w:rsidRPr="003E2D25">
        <w:rPr>
          <w:rFonts w:ascii="Arial" w:hAnsi="Arial" w:cs="Arial"/>
        </w:rPr>
        <w:t xml:space="preserve"> constituyen un estándar obligatorio para evaluar la constitucionalidad y convencionalidad del acuerdo presidencial. Si los tomamos en serio, veremos que, simple y sencillamente, el acuerdo es jurídicamente insostenible. Las violaciones a cada uno de estos principios —establecidos en la Constitución y en la jurisprudencia de la </w:t>
      </w:r>
      <w:proofErr w:type="spellStart"/>
      <w:r w:rsidRPr="003E2D25">
        <w:rPr>
          <w:rFonts w:ascii="Arial" w:hAnsi="Arial" w:cs="Arial"/>
        </w:rPr>
        <w:t>CorteIDH</w:t>
      </w:r>
      <w:proofErr w:type="spellEnd"/>
      <w:r w:rsidRPr="003E2D25">
        <w:rPr>
          <w:rFonts w:ascii="Arial" w:hAnsi="Arial" w:cs="Arial"/>
        </w:rPr>
        <w:t>— constituyen razones independientes para sostener la invalidez del acuerdo. Veamos.</w:t>
      </w:r>
    </w:p>
    <w:p w14:paraId="601DF398" w14:textId="05C04A15" w:rsidR="00E82B3F" w:rsidRPr="00D92A13" w:rsidRDefault="00E82B3F" w:rsidP="00E82B3F">
      <w:pPr>
        <w:pStyle w:val="NormalWeb"/>
        <w:shd w:val="clear" w:color="auto" w:fill="FFFFFF"/>
        <w:spacing w:before="0" w:after="0" w:line="276" w:lineRule="auto"/>
        <w:jc w:val="both"/>
        <w:textAlignment w:val="baseline"/>
        <w:rPr>
          <w:rFonts w:ascii="Arial" w:hAnsi="Arial" w:cs="Arial"/>
        </w:rPr>
      </w:pPr>
      <w:r>
        <w:rPr>
          <w:rStyle w:val="nfasis"/>
          <w:rFonts w:ascii="Arial" w:hAnsi="Arial" w:cs="Arial"/>
          <w:bdr w:val="none" w:sz="0" w:space="0" w:color="auto" w:frame="1"/>
        </w:rPr>
        <w:tab/>
      </w:r>
      <w:r w:rsidR="00540C7A">
        <w:rPr>
          <w:rStyle w:val="nfasis"/>
          <w:rFonts w:ascii="Arial" w:hAnsi="Arial" w:cs="Arial"/>
          <w:i w:val="0"/>
          <w:iCs w:val="0"/>
          <w:bdr w:val="none" w:sz="0" w:space="0" w:color="auto" w:frame="1"/>
        </w:rPr>
        <w:t xml:space="preserve">Las normas generales reclamadas </w:t>
      </w:r>
      <w:r w:rsidRPr="00F24827">
        <w:rPr>
          <w:rStyle w:val="nfasis"/>
          <w:rFonts w:ascii="Arial" w:hAnsi="Arial" w:cs="Arial"/>
          <w:i w:val="0"/>
          <w:bdr w:val="none" w:sz="0" w:space="0" w:color="auto" w:frame="1"/>
        </w:rPr>
        <w:t>no justifica</w:t>
      </w:r>
      <w:r w:rsidR="00540C7A">
        <w:rPr>
          <w:rStyle w:val="nfasis"/>
          <w:rFonts w:ascii="Arial" w:hAnsi="Arial" w:cs="Arial"/>
          <w:i w:val="0"/>
          <w:bdr w:val="none" w:sz="0" w:space="0" w:color="auto" w:frame="1"/>
        </w:rPr>
        <w:t>n</w:t>
      </w:r>
      <w:r w:rsidRPr="00F24827">
        <w:rPr>
          <w:rStyle w:val="nfasis"/>
          <w:rFonts w:ascii="Arial" w:hAnsi="Arial" w:cs="Arial"/>
          <w:i w:val="0"/>
          <w:bdr w:val="none" w:sz="0" w:space="0" w:color="auto" w:frame="1"/>
        </w:rPr>
        <w:t xml:space="preserve"> el carácter excepcional, temporal y restringido a lo estrictamente necesario de la intervención de las fuerzas armadas en las circunstancias del caso</w:t>
      </w:r>
      <w:r w:rsidR="00540C7A">
        <w:rPr>
          <w:rStyle w:val="nfasis"/>
          <w:rFonts w:ascii="Arial" w:hAnsi="Arial" w:cs="Arial"/>
          <w:i w:val="0"/>
          <w:bdr w:val="none" w:sz="0" w:space="0" w:color="auto" w:frame="1"/>
        </w:rPr>
        <w:t xml:space="preserve"> en conjunto con la Guardia Nacional</w:t>
      </w:r>
      <w:r w:rsidRPr="003E2D25">
        <w:rPr>
          <w:rFonts w:ascii="Arial" w:hAnsi="Arial" w:cs="Arial"/>
        </w:rPr>
        <w:t>. La violación a este parámetro es manifiesta, en la medida en que el acuerdo presidencial no presenta ningún tipo de argumento para justificar el uso generalizado de las fuerzas armadas hasta el máximo de cinco años permitido por la Constitución. El acuerdo pretende, además, hacer un uso de militares y marinos en todo el territorio nacional, sin hacer algún tipo de acotación geográfica y sin ofrecer razones para una intervención de este tipo. Ni siquiera queda claro si la intervención de militares y marinos busca hacer frente a la emergencia sanitaria, a la crisis de seguridad pública nacional, o a ambas.</w:t>
      </w:r>
      <w:r>
        <w:rPr>
          <w:rFonts w:ascii="Arial" w:hAnsi="Arial" w:cs="Arial"/>
        </w:rPr>
        <w:t xml:space="preserve"> […] </w:t>
      </w:r>
      <w:r w:rsidRPr="00D92A13">
        <w:rPr>
          <w:rFonts w:ascii="Arial" w:hAnsi="Arial" w:cs="Arial"/>
        </w:rPr>
        <w:t>No se hace referencia alguna a la restricción territorial de la medida, cuestión que sería razonable en un país tan grande como México en el cual existen índices de inseguridad extremadamente variables. Por ejemplo, durante el primer trimestre del 2020 la tasa de homicidio en Colima fue de 21 homicidios por cada 100 mil habitantes, mientras que en Yucatán fue de apenas 0.5 homicidios por cada 100 mil habitantes. En Chiapas la tasa general de incidencia delictiva es de 19</w:t>
      </w:r>
      <w:r>
        <w:rPr>
          <w:rFonts w:ascii="Arial" w:hAnsi="Arial" w:cs="Arial"/>
        </w:rPr>
        <w:t xml:space="preserve">, </w:t>
      </w:r>
      <w:r w:rsidRPr="00D92A13">
        <w:rPr>
          <w:rFonts w:ascii="Arial" w:hAnsi="Arial" w:cs="Arial"/>
        </w:rPr>
        <w:t>409 delitos por cada 100 mil habitantes, mientras que en Ciudad de México es de 69 716 delitos por cada 100 mil habitantes según datos del INEGI</w:t>
      </w:r>
      <w:r>
        <w:rPr>
          <w:rStyle w:val="Refdenotaalpie"/>
          <w:rFonts w:ascii="Arial" w:hAnsi="Arial" w:cs="Arial"/>
        </w:rPr>
        <w:footnoteReference w:id="62"/>
      </w:r>
      <w:r w:rsidRPr="00D92A13">
        <w:rPr>
          <w:rFonts w:ascii="Arial" w:hAnsi="Arial" w:cs="Arial"/>
        </w:rPr>
        <w:t>. ¿Esas diferencias regionales tan pronunciadas ameritan o no una respuesta acotada desde el punto de vista territorial en el tema que estamos analizando</w:t>
      </w:r>
      <w:proofErr w:type="gramStart"/>
      <w:r w:rsidRPr="00D92A13">
        <w:rPr>
          <w:rFonts w:ascii="Arial" w:hAnsi="Arial" w:cs="Arial"/>
        </w:rPr>
        <w:t>?</w:t>
      </w:r>
      <w:r>
        <w:rPr>
          <w:rFonts w:ascii="Arial" w:hAnsi="Arial" w:cs="Arial"/>
        </w:rPr>
        <w:t>[</w:t>
      </w:r>
      <w:proofErr w:type="gramEnd"/>
      <w:r>
        <w:rPr>
          <w:rFonts w:ascii="Arial" w:hAnsi="Arial" w:cs="Arial"/>
        </w:rPr>
        <w:t>…]</w:t>
      </w:r>
      <w:r>
        <w:rPr>
          <w:rStyle w:val="Refdenotaalpie"/>
          <w:rFonts w:ascii="Arial" w:hAnsi="Arial" w:cs="Arial"/>
        </w:rPr>
        <w:footnoteReference w:id="63"/>
      </w:r>
    </w:p>
    <w:p w14:paraId="7816ECB3" w14:textId="1952275D" w:rsidR="00E82B3F" w:rsidRPr="003E2D25" w:rsidRDefault="00E82B3F" w:rsidP="00E82B3F">
      <w:pPr>
        <w:pStyle w:val="NormalWeb"/>
        <w:shd w:val="clear" w:color="auto" w:fill="FFFFFF"/>
        <w:spacing w:before="0" w:after="0" w:line="276" w:lineRule="auto"/>
        <w:jc w:val="both"/>
        <w:textAlignment w:val="baseline"/>
        <w:rPr>
          <w:rFonts w:ascii="Arial" w:hAnsi="Arial" w:cs="Arial"/>
        </w:rPr>
      </w:pPr>
      <w:r>
        <w:rPr>
          <w:rStyle w:val="nfasis"/>
          <w:rFonts w:ascii="Arial" w:hAnsi="Arial" w:cs="Arial"/>
          <w:bdr w:val="none" w:sz="0" w:space="0" w:color="auto" w:frame="1"/>
        </w:rPr>
        <w:tab/>
      </w:r>
      <w:proofErr w:type="gramStart"/>
      <w:r w:rsidRPr="00F24827">
        <w:rPr>
          <w:rStyle w:val="nfasis"/>
          <w:rFonts w:ascii="Arial" w:hAnsi="Arial" w:cs="Arial"/>
          <w:i w:val="0"/>
          <w:bdr w:val="none" w:sz="0" w:space="0" w:color="auto" w:frame="1"/>
        </w:rPr>
        <w:t>El</w:t>
      </w:r>
      <w:proofErr w:type="gramEnd"/>
      <w:r w:rsidRPr="00F24827">
        <w:rPr>
          <w:rStyle w:val="nfasis"/>
          <w:rFonts w:ascii="Arial" w:hAnsi="Arial" w:cs="Arial"/>
          <w:i w:val="0"/>
          <w:bdr w:val="none" w:sz="0" w:space="0" w:color="auto" w:frame="1"/>
        </w:rPr>
        <w:t xml:space="preserve"> </w:t>
      </w:r>
      <w:r w:rsidR="00540C7A">
        <w:rPr>
          <w:rStyle w:val="nfasis"/>
          <w:rFonts w:ascii="Arial" w:hAnsi="Arial" w:cs="Arial"/>
          <w:i w:val="0"/>
          <w:bdr w:val="none" w:sz="0" w:space="0" w:color="auto" w:frame="1"/>
        </w:rPr>
        <w:t xml:space="preserve">norma general </w:t>
      </w:r>
      <w:r w:rsidRPr="00F24827">
        <w:rPr>
          <w:rStyle w:val="nfasis"/>
          <w:rFonts w:ascii="Arial" w:hAnsi="Arial" w:cs="Arial"/>
          <w:i w:val="0"/>
          <w:bdr w:val="none" w:sz="0" w:space="0" w:color="auto" w:frame="1"/>
        </w:rPr>
        <w:t>no subordina a las fuerzas armadas a las corporaciones civiles, además de que extiende sus labores a facultades propias de las instituciones de procuración de justicia o policía judicial o ministerial</w:t>
      </w:r>
      <w:r w:rsidRPr="00F24827">
        <w:rPr>
          <w:rFonts w:ascii="Arial" w:hAnsi="Arial" w:cs="Arial"/>
          <w:i/>
        </w:rPr>
        <w:t>.</w:t>
      </w:r>
      <w:r w:rsidRPr="003E2D25">
        <w:rPr>
          <w:rFonts w:ascii="Arial" w:hAnsi="Arial" w:cs="Arial"/>
        </w:rPr>
        <w:t xml:space="preserve"> La violación a los principios de subordinación y complementariedad también es patente. Adicionalmente, vulnera el mandato del artículo 21 constitucional, que exige que en la investigación de los delitos los cuerpos policiales actúen bajo el mando y conducción del Ministerio Público.</w:t>
      </w:r>
    </w:p>
    <w:p w14:paraId="2283911B" w14:textId="77777777" w:rsidR="00E82B3F" w:rsidRPr="003E2D25" w:rsidRDefault="00E82B3F" w:rsidP="00E82B3F">
      <w:pPr>
        <w:pStyle w:val="NormalWeb"/>
        <w:shd w:val="clear" w:color="auto" w:fill="FFFFFF"/>
        <w:spacing w:before="0" w:after="0" w:line="276" w:lineRule="auto"/>
        <w:jc w:val="both"/>
        <w:textAlignment w:val="baseline"/>
        <w:rPr>
          <w:rFonts w:ascii="Arial" w:hAnsi="Arial" w:cs="Arial"/>
        </w:rPr>
      </w:pPr>
      <w:r>
        <w:rPr>
          <w:rStyle w:val="nfasis"/>
          <w:rFonts w:ascii="Arial" w:hAnsi="Arial" w:cs="Arial"/>
          <w:bdr w:val="none" w:sz="0" w:space="0" w:color="auto" w:frame="1"/>
        </w:rPr>
        <w:lastRenderedPageBreak/>
        <w:tab/>
      </w:r>
      <w:r w:rsidRPr="00F24827">
        <w:rPr>
          <w:rStyle w:val="nfasis"/>
          <w:rFonts w:ascii="Arial" w:hAnsi="Arial" w:cs="Arial"/>
          <w:i w:val="0"/>
          <w:bdr w:val="none" w:sz="0" w:space="0" w:color="auto" w:frame="1"/>
        </w:rPr>
        <w:t>El acuerdo remite a mecanismos y protocolos inadecuados sobre el uso de la fuerza y no establece ningún tipo de capacitación en la materia</w:t>
      </w:r>
      <w:r w:rsidRPr="00F24827">
        <w:rPr>
          <w:rFonts w:ascii="Arial" w:hAnsi="Arial" w:cs="Arial"/>
          <w:i/>
        </w:rPr>
        <w:t>.</w:t>
      </w:r>
      <w:r w:rsidRPr="003E2D25">
        <w:rPr>
          <w:rFonts w:ascii="Arial" w:hAnsi="Arial" w:cs="Arial"/>
        </w:rPr>
        <w:t xml:space="preserve"> El acuerdo se limita establecer, de manera redundante, que la Fuerza Armada observará lo dispuesto en la L</w:t>
      </w:r>
      <w:r>
        <w:rPr>
          <w:rFonts w:ascii="Arial" w:hAnsi="Arial" w:cs="Arial"/>
        </w:rPr>
        <w:t xml:space="preserve">ey </w:t>
      </w:r>
      <w:r w:rsidRPr="003E2D25">
        <w:rPr>
          <w:rFonts w:ascii="Arial" w:hAnsi="Arial" w:cs="Arial"/>
        </w:rPr>
        <w:t>N</w:t>
      </w:r>
      <w:r>
        <w:rPr>
          <w:rFonts w:ascii="Arial" w:hAnsi="Arial" w:cs="Arial"/>
        </w:rPr>
        <w:t xml:space="preserve">acional del </w:t>
      </w:r>
      <w:r w:rsidRPr="003E2D25">
        <w:rPr>
          <w:rFonts w:ascii="Arial" w:hAnsi="Arial" w:cs="Arial"/>
        </w:rPr>
        <w:t>U</w:t>
      </w:r>
      <w:r>
        <w:rPr>
          <w:rFonts w:ascii="Arial" w:hAnsi="Arial" w:cs="Arial"/>
        </w:rPr>
        <w:t xml:space="preserve">so de la </w:t>
      </w:r>
      <w:r w:rsidRPr="003E2D25">
        <w:rPr>
          <w:rFonts w:ascii="Arial" w:hAnsi="Arial" w:cs="Arial"/>
        </w:rPr>
        <w:t>F</w:t>
      </w:r>
      <w:r>
        <w:rPr>
          <w:rFonts w:ascii="Arial" w:hAnsi="Arial" w:cs="Arial"/>
        </w:rPr>
        <w:t>uerza</w:t>
      </w:r>
      <w:r w:rsidRPr="003E2D25">
        <w:rPr>
          <w:rFonts w:ascii="Arial" w:hAnsi="Arial" w:cs="Arial"/>
        </w:rPr>
        <w:t>. Aunque con ello se pretende cumplir con el principio de regulación, lo cierto es que la propia LNUF no establece protocolos adecuados para el uso de la fuerza. Tal como ha argumentado la Comisión Nacional de los Derechos Humanos (CNDH),</w:t>
      </w:r>
      <w:r>
        <w:rPr>
          <w:rStyle w:val="Refdenotaalpie"/>
          <w:rFonts w:ascii="Arial" w:hAnsi="Arial" w:cs="Arial"/>
        </w:rPr>
        <w:footnoteReference w:id="64"/>
      </w:r>
      <w:r w:rsidRPr="003E2D25">
        <w:rPr>
          <w:rFonts w:ascii="Arial" w:hAnsi="Arial" w:cs="Arial"/>
        </w:rPr>
        <w:t xml:space="preserve"> la LNUF: i) incurre en omisiones al no determinar la finalidad del uso de la fuerza, ni contemplar los principios de racionalidad y oportunidad, ii) utiliza conceptos ambiguos y no acordes con los estándares nacionales e internacionales de derechos humanos, iii) permite el uso de la fuerza letal desde la planeación de operativos y iv) establece la posibilidad de usar armas de fuego o fuerza letal en manifestaciones o reuniones públicas. Adicionalmente, el acuerdo presidencial incumple con el principio de regulación toda vez que no establece medidas de selección del personal profesional, entrenamiento y capacitación en el uso de la fuerza por parte de las fuerzas armadas, que es una exigencia reiterada por la </w:t>
      </w:r>
      <w:proofErr w:type="spellStart"/>
      <w:r w:rsidRPr="003E2D25">
        <w:rPr>
          <w:rFonts w:ascii="Arial" w:hAnsi="Arial" w:cs="Arial"/>
        </w:rPr>
        <w:t>CorteIDH</w:t>
      </w:r>
      <w:proofErr w:type="spellEnd"/>
      <w:r w:rsidRPr="003E2D25">
        <w:rPr>
          <w:rFonts w:ascii="Arial" w:hAnsi="Arial" w:cs="Arial"/>
        </w:rPr>
        <w:t xml:space="preserve"> y por otras instancias supranacionales.</w:t>
      </w:r>
      <w:r>
        <w:rPr>
          <w:rStyle w:val="Refdenotaalpie"/>
          <w:rFonts w:ascii="Arial" w:hAnsi="Arial" w:cs="Arial"/>
        </w:rPr>
        <w:footnoteReference w:id="65"/>
      </w:r>
      <w:r w:rsidRPr="003E2D25">
        <w:rPr>
          <w:rFonts w:ascii="Arial" w:hAnsi="Arial" w:cs="Arial"/>
        </w:rPr>
        <w:t xml:space="preserve"> </w:t>
      </w:r>
    </w:p>
    <w:p w14:paraId="2C6278E0" w14:textId="77777777" w:rsidR="00E82B3F" w:rsidRPr="003E2D25" w:rsidRDefault="00E82B3F" w:rsidP="00E82B3F">
      <w:pPr>
        <w:pStyle w:val="NormalWeb"/>
        <w:shd w:val="clear" w:color="auto" w:fill="FFFFFF"/>
        <w:spacing w:before="0" w:after="0" w:line="276" w:lineRule="auto"/>
        <w:jc w:val="both"/>
        <w:textAlignment w:val="baseline"/>
        <w:rPr>
          <w:rFonts w:ascii="Arial" w:hAnsi="Arial" w:cs="Arial"/>
        </w:rPr>
      </w:pPr>
      <w:r>
        <w:rPr>
          <w:rStyle w:val="nfasis"/>
          <w:rFonts w:ascii="Arial" w:hAnsi="Arial" w:cs="Arial"/>
          <w:bdr w:val="none" w:sz="0" w:space="0" w:color="auto" w:frame="1"/>
        </w:rPr>
        <w:tab/>
      </w:r>
      <w:r w:rsidRPr="00F24827">
        <w:rPr>
          <w:rStyle w:val="nfasis"/>
          <w:rFonts w:ascii="Arial" w:hAnsi="Arial" w:cs="Arial"/>
          <w:i w:val="0"/>
          <w:bdr w:val="none" w:sz="0" w:space="0" w:color="auto" w:frame="1"/>
        </w:rPr>
        <w:t>El acuerdo no contempla mecanismos de fiscalización por órganos civiles competentes, independientes y técnicamente capaces</w:t>
      </w:r>
      <w:r w:rsidRPr="003E2D25">
        <w:rPr>
          <w:rFonts w:ascii="Arial" w:hAnsi="Arial" w:cs="Arial"/>
        </w:rPr>
        <w:t>. Estamos frente a una violación patente de fiscalización, toda vez que el decreto señala que serán los órganos internos de control de las secretarías de Defensa y Marina las que supervisen y controlen la actuación de soldados y marinos en tareas de seguridad pública. Se trata, por tanto, de una falsa fiscalización en donde el vigilado y el vigilante son la misma institución.</w:t>
      </w:r>
      <w:r>
        <w:rPr>
          <w:rFonts w:ascii="Arial" w:hAnsi="Arial" w:cs="Arial"/>
        </w:rPr>
        <w:t>”</w:t>
      </w:r>
      <w:r w:rsidRPr="003E2D25">
        <w:rPr>
          <w:rStyle w:val="Refdenotaalpie"/>
          <w:rFonts w:ascii="Arial" w:hAnsi="Arial" w:cs="Arial"/>
        </w:rPr>
        <w:footnoteReference w:id="66"/>
      </w:r>
    </w:p>
    <w:p w14:paraId="58C3E877" w14:textId="77777777" w:rsidR="00E82B3F" w:rsidRPr="00832FD8" w:rsidRDefault="00E82B3F" w:rsidP="00E82B3F">
      <w:pPr>
        <w:pStyle w:val="NormalWeb"/>
        <w:shd w:val="clear" w:color="auto" w:fill="FFFFFF"/>
        <w:spacing w:line="276" w:lineRule="auto"/>
        <w:jc w:val="both"/>
        <w:textAlignment w:val="baseline"/>
        <w:rPr>
          <w:rFonts w:ascii="Arial" w:hAnsi="Arial" w:cs="Arial"/>
        </w:rPr>
      </w:pPr>
      <w:r>
        <w:rPr>
          <w:rFonts w:ascii="Arial" w:hAnsi="Arial" w:cs="Arial"/>
        </w:rPr>
        <w:tab/>
        <w:t>“</w:t>
      </w:r>
      <w:r w:rsidRPr="00832FD8">
        <w:rPr>
          <w:rFonts w:ascii="Arial" w:hAnsi="Arial" w:cs="Arial"/>
        </w:rPr>
        <w:t>Parece haber en ese punto una clara incompatibilidad entre la exigencia de la Corte Interamericana y lo estipulado en el acuerdo presidencial. Muy diferente hubiera sido que en el propio acuerdo se hubiera previsto un mecanismo de supervisión, acompañamiento y seguimiento a cargo por ejemplo de la Comisión Nacional de los Derechos Humanos; o que se hubiera señalado la obligación de las autoridades de presentar informes ante organismos internacionales de defensa y protección de los derechos humanos en el marco de la Organización de las Naciones Unidas o de la Organización de Estados Americanos a través de algún mecanismo de cooperación internacional. Que las fuerzas armadas se vayan a supervisar y controlar a sí mismas es una determinación que se sitúa fuera del marco fijado por la Corte Interamericana de Derechos Humanos en el inciso D del párrafo 182 de la sentencia Alvarado Espinoza.</w:t>
      </w:r>
      <w:r>
        <w:rPr>
          <w:rFonts w:ascii="Arial" w:hAnsi="Arial" w:cs="Arial"/>
        </w:rPr>
        <w:t>”</w:t>
      </w:r>
      <w:r>
        <w:rPr>
          <w:rStyle w:val="Refdenotaalpie"/>
          <w:rFonts w:ascii="Arial" w:hAnsi="Arial" w:cs="Arial"/>
        </w:rPr>
        <w:footnoteReference w:id="67"/>
      </w:r>
    </w:p>
    <w:p w14:paraId="19EC4E67" w14:textId="0B99D242" w:rsidR="00F53D61" w:rsidRDefault="00F53D61" w:rsidP="00F53D61">
      <w:pPr>
        <w:spacing w:before="240"/>
        <w:ind w:right="49"/>
        <w:jc w:val="center"/>
        <w:rPr>
          <w:rFonts w:ascii="Arial" w:hAnsi="Arial" w:cs="Arial"/>
          <w:b/>
          <w:sz w:val="24"/>
          <w:szCs w:val="24"/>
          <w:shd w:val="clear" w:color="auto" w:fill="FFFFFF"/>
        </w:rPr>
      </w:pPr>
      <w:r w:rsidRPr="00E82B3F">
        <w:rPr>
          <w:rFonts w:ascii="Arial" w:hAnsi="Arial" w:cs="Arial"/>
          <w:b/>
          <w:sz w:val="24"/>
          <w:szCs w:val="24"/>
          <w:shd w:val="clear" w:color="auto" w:fill="FFFFFF"/>
        </w:rPr>
        <w:t>PRUEBAS</w:t>
      </w:r>
    </w:p>
    <w:p w14:paraId="597A1FE5" w14:textId="416EA5EC" w:rsidR="000E0945" w:rsidRDefault="000E0945" w:rsidP="00F53D61">
      <w:pPr>
        <w:spacing w:before="240"/>
        <w:ind w:right="49"/>
        <w:jc w:val="both"/>
        <w:rPr>
          <w:rFonts w:ascii="Arial" w:hAnsi="Arial" w:cs="Arial"/>
          <w:sz w:val="24"/>
          <w:szCs w:val="24"/>
          <w:shd w:val="clear" w:color="auto" w:fill="FFFFFF"/>
        </w:rPr>
      </w:pPr>
      <w:r w:rsidRPr="007C0E90">
        <w:rPr>
          <w:rFonts w:ascii="Arial" w:hAnsi="Arial" w:cs="Arial"/>
          <w:b/>
          <w:sz w:val="24"/>
          <w:szCs w:val="24"/>
          <w:shd w:val="clear" w:color="auto" w:fill="FFFFFF"/>
        </w:rPr>
        <w:t>1.</w:t>
      </w:r>
      <w:r>
        <w:rPr>
          <w:rFonts w:ascii="Arial" w:hAnsi="Arial" w:cs="Arial"/>
          <w:sz w:val="24"/>
          <w:szCs w:val="24"/>
          <w:shd w:val="clear" w:color="auto" w:fill="FFFFFF"/>
        </w:rPr>
        <w:t xml:space="preserve"> </w:t>
      </w:r>
      <w:r w:rsidRPr="000E0945">
        <w:rPr>
          <w:rFonts w:ascii="Arial" w:hAnsi="Arial" w:cs="Arial"/>
          <w:b/>
          <w:sz w:val="24"/>
          <w:szCs w:val="24"/>
          <w:shd w:val="clear" w:color="auto" w:fill="FFFFFF"/>
        </w:rPr>
        <w:t>DOCUMENTAL PÚBLICA</w:t>
      </w:r>
      <w:r>
        <w:rPr>
          <w:rFonts w:ascii="Arial" w:hAnsi="Arial" w:cs="Arial"/>
          <w:sz w:val="24"/>
          <w:szCs w:val="24"/>
          <w:shd w:val="clear" w:color="auto" w:fill="FFFFFF"/>
        </w:rPr>
        <w:t xml:space="preserve"> </w:t>
      </w:r>
      <w:r w:rsidRPr="000E0945">
        <w:rPr>
          <w:rFonts w:ascii="Arial" w:hAnsi="Arial" w:cs="Arial"/>
          <w:b/>
          <w:sz w:val="24"/>
          <w:szCs w:val="24"/>
          <w:shd w:val="clear" w:color="auto" w:fill="FFFFFF"/>
        </w:rPr>
        <w:t>e INSTRUMENTAL DE ACTUACIONES</w:t>
      </w:r>
      <w:r>
        <w:rPr>
          <w:rFonts w:ascii="Arial" w:hAnsi="Arial" w:cs="Arial"/>
          <w:sz w:val="24"/>
          <w:szCs w:val="24"/>
          <w:shd w:val="clear" w:color="auto" w:fill="FFFFFF"/>
        </w:rPr>
        <w:t xml:space="preserve">. Consistentes en la demanda de amparo </w:t>
      </w:r>
      <w:r w:rsidR="000A70BC">
        <w:rPr>
          <w:rFonts w:ascii="Arial" w:hAnsi="Arial" w:cs="Arial"/>
          <w:sz w:val="24"/>
          <w:szCs w:val="24"/>
          <w:shd w:val="clear" w:color="auto" w:fill="FFFFFF"/>
        </w:rPr>
        <w:t xml:space="preserve">indirecto promovida por los aquí quejosos, la cual genero el presente expediente, con la cual demuestro que estoy realizando un acto de defensa de derechos humanos porque el juicio de amparo es un medio de control constitucional y convencional de los actos de autoridad, es un medio de defensa de la Constitución que tiene por objeto resolver toda controversia que se suscite por normas generales, </w:t>
      </w:r>
      <w:r w:rsidR="000A70BC">
        <w:rPr>
          <w:rFonts w:ascii="Arial" w:hAnsi="Arial" w:cs="Arial"/>
          <w:sz w:val="24"/>
          <w:szCs w:val="24"/>
          <w:shd w:val="clear" w:color="auto" w:fill="FFFFFF"/>
        </w:rPr>
        <w:lastRenderedPageBreak/>
        <w:t xml:space="preserve">actos u omisiones de autoridad que violen los derechos humanos reconocidos y las garantías otorgadas por su protección por la Constitución Política de los Estados Unidos Mexicanos, así como por los tratados internacionales de los que el Estado Mexicano sea parte, de conformidad con los artículos 103 y 107 Constitucional así como con el numeral 1 de su Ley Reglamentaria.  </w:t>
      </w:r>
    </w:p>
    <w:p w14:paraId="396DBA2B" w14:textId="3F2C89EE" w:rsidR="000E0945" w:rsidRPr="007C0E90" w:rsidRDefault="000E0945" w:rsidP="00F53D61">
      <w:pPr>
        <w:spacing w:before="240"/>
        <w:ind w:right="49"/>
        <w:jc w:val="both"/>
        <w:rPr>
          <w:rFonts w:ascii="Arial" w:hAnsi="Arial" w:cs="Arial"/>
          <w:sz w:val="24"/>
          <w:szCs w:val="24"/>
          <w:shd w:val="clear" w:color="auto" w:fill="FFFFFF"/>
        </w:rPr>
      </w:pPr>
      <w:r w:rsidRPr="007C0E90">
        <w:rPr>
          <w:rFonts w:ascii="Arial" w:hAnsi="Arial" w:cs="Arial"/>
          <w:b/>
          <w:sz w:val="24"/>
          <w:szCs w:val="24"/>
          <w:shd w:val="clear" w:color="auto" w:fill="FFFFFF"/>
        </w:rPr>
        <w:t>2.</w:t>
      </w:r>
      <w:r>
        <w:rPr>
          <w:rFonts w:ascii="Arial" w:hAnsi="Arial" w:cs="Arial"/>
          <w:sz w:val="24"/>
          <w:szCs w:val="24"/>
          <w:shd w:val="clear" w:color="auto" w:fill="FFFFFF"/>
        </w:rPr>
        <w:t xml:space="preserve"> </w:t>
      </w:r>
      <w:r w:rsidRPr="000E0945">
        <w:rPr>
          <w:rFonts w:ascii="Arial" w:hAnsi="Arial" w:cs="Arial"/>
          <w:b/>
          <w:sz w:val="24"/>
          <w:szCs w:val="24"/>
          <w:shd w:val="clear" w:color="auto" w:fill="FFFFFF"/>
        </w:rPr>
        <w:t>PRESUNCIONAL</w:t>
      </w:r>
      <w:r w:rsidR="007C0E90">
        <w:rPr>
          <w:rFonts w:ascii="Arial" w:hAnsi="Arial" w:cs="Arial"/>
          <w:sz w:val="24"/>
          <w:szCs w:val="24"/>
          <w:shd w:val="clear" w:color="auto" w:fill="FFFFFF"/>
        </w:rPr>
        <w:t xml:space="preserve"> </w:t>
      </w:r>
      <w:r w:rsidR="007C0E90" w:rsidRPr="007C0E90">
        <w:rPr>
          <w:rFonts w:ascii="Arial" w:hAnsi="Arial" w:cs="Arial"/>
          <w:b/>
          <w:sz w:val="24"/>
          <w:szCs w:val="24"/>
          <w:shd w:val="clear" w:color="auto" w:fill="FFFFFF"/>
        </w:rPr>
        <w:t>LEGAL Y HUMANA</w:t>
      </w:r>
      <w:r w:rsidR="007C0E90" w:rsidRPr="007C0E90">
        <w:rPr>
          <w:rFonts w:ascii="Arial" w:hAnsi="Arial" w:cs="Arial"/>
          <w:sz w:val="24"/>
          <w:szCs w:val="24"/>
          <w:shd w:val="clear" w:color="auto" w:fill="FFFFFF"/>
        </w:rPr>
        <w:t xml:space="preserve">. Consistente en las deducciones lógico jurídicas </w:t>
      </w:r>
      <w:r w:rsidR="007C0E90">
        <w:rPr>
          <w:rFonts w:ascii="Arial" w:hAnsi="Arial" w:cs="Arial"/>
          <w:sz w:val="24"/>
          <w:szCs w:val="24"/>
          <w:shd w:val="clear" w:color="auto" w:fill="FFFFFF"/>
        </w:rPr>
        <w:t xml:space="preserve">de los argumentos, hechos expuestos en la demanda de amparo y hechos a los que se hace alusión en las noticias de los periódicos electrónicos citados en la demanda de amparo. </w:t>
      </w:r>
    </w:p>
    <w:p w14:paraId="0BEB2AA7" w14:textId="491D1E00" w:rsidR="000E0945" w:rsidRDefault="007C0E90" w:rsidP="00F53D61">
      <w:pPr>
        <w:spacing w:before="240"/>
        <w:ind w:right="49"/>
        <w:jc w:val="both"/>
        <w:rPr>
          <w:rFonts w:ascii="Arial" w:hAnsi="Arial" w:cs="Arial"/>
          <w:sz w:val="24"/>
          <w:szCs w:val="24"/>
          <w:shd w:val="clear" w:color="auto" w:fill="FFFFFF"/>
        </w:rPr>
      </w:pPr>
      <w:r w:rsidRPr="007C0E90">
        <w:rPr>
          <w:rFonts w:ascii="Arial" w:hAnsi="Arial" w:cs="Arial"/>
          <w:b/>
          <w:sz w:val="24"/>
          <w:szCs w:val="24"/>
          <w:shd w:val="clear" w:color="auto" w:fill="FFFFFF"/>
        </w:rPr>
        <w:t>3</w:t>
      </w:r>
      <w:r>
        <w:rPr>
          <w:rFonts w:ascii="Arial" w:hAnsi="Arial" w:cs="Arial"/>
          <w:b/>
          <w:sz w:val="24"/>
          <w:szCs w:val="24"/>
          <w:shd w:val="clear" w:color="auto" w:fill="FFFFFF"/>
        </w:rPr>
        <w:t>.</w:t>
      </w:r>
      <w:r w:rsidRPr="000E0945">
        <w:rPr>
          <w:rFonts w:ascii="Arial" w:hAnsi="Arial" w:cs="Arial"/>
          <w:b/>
          <w:sz w:val="24"/>
          <w:szCs w:val="24"/>
          <w:shd w:val="clear" w:color="auto" w:fill="FFFFFF"/>
        </w:rPr>
        <w:t xml:space="preserve"> DOCUMENTAL</w:t>
      </w:r>
      <w:r w:rsidR="000E0945" w:rsidRPr="000E0945">
        <w:rPr>
          <w:rFonts w:ascii="Arial" w:hAnsi="Arial" w:cs="Arial"/>
          <w:b/>
          <w:sz w:val="24"/>
          <w:szCs w:val="24"/>
          <w:shd w:val="clear" w:color="auto" w:fill="FFFFFF"/>
        </w:rPr>
        <w:t xml:space="preserve"> PÚBLICA y MEDIO</w:t>
      </w:r>
      <w:r w:rsidR="000E0945">
        <w:rPr>
          <w:rFonts w:ascii="Arial" w:hAnsi="Arial" w:cs="Arial"/>
          <w:b/>
          <w:sz w:val="24"/>
          <w:szCs w:val="24"/>
          <w:shd w:val="clear" w:color="auto" w:fill="FFFFFF"/>
        </w:rPr>
        <w:t>S</w:t>
      </w:r>
      <w:r w:rsidR="000E0945" w:rsidRPr="000E0945">
        <w:rPr>
          <w:rFonts w:ascii="Arial" w:hAnsi="Arial" w:cs="Arial"/>
          <w:b/>
          <w:sz w:val="24"/>
          <w:szCs w:val="24"/>
          <w:shd w:val="clear" w:color="auto" w:fill="FFFFFF"/>
        </w:rPr>
        <w:t xml:space="preserve"> ELECTRONICO</w:t>
      </w:r>
      <w:r w:rsidR="000E0945">
        <w:rPr>
          <w:rFonts w:ascii="Arial" w:hAnsi="Arial" w:cs="Arial"/>
          <w:b/>
          <w:sz w:val="24"/>
          <w:szCs w:val="24"/>
          <w:shd w:val="clear" w:color="auto" w:fill="FFFFFF"/>
        </w:rPr>
        <w:t>S</w:t>
      </w:r>
      <w:r w:rsidR="000E0945">
        <w:rPr>
          <w:rFonts w:ascii="Arial" w:hAnsi="Arial" w:cs="Arial"/>
          <w:sz w:val="24"/>
          <w:szCs w:val="24"/>
          <w:shd w:val="clear" w:color="auto" w:fill="FFFFFF"/>
        </w:rPr>
        <w:t xml:space="preserve">. Consistente en la publicación del nueve de septiembre de dos mil veintidós, en el Diario Oficial de la Federación, respecto que contiene el decreto de reforma de las normas generales impugnadas en este amparo: </w:t>
      </w:r>
      <w:hyperlink r:id="rId43" w:anchor="gsc.tab=0" w:history="1">
        <w:r w:rsidR="000E0945" w:rsidRPr="00DD0F78">
          <w:rPr>
            <w:rStyle w:val="Hipervnculo"/>
            <w:rFonts w:ascii="Arial" w:hAnsi="Arial" w:cs="Arial"/>
            <w:sz w:val="24"/>
            <w:szCs w:val="24"/>
            <w:shd w:val="clear" w:color="auto" w:fill="FFFFFF"/>
          </w:rPr>
          <w:t>https://dof.gob.mx/nota_detalle.php?codigo=5664065&amp;fecha=09/09/2022#gsc.tab=0</w:t>
        </w:r>
      </w:hyperlink>
    </w:p>
    <w:p w14:paraId="19888B2E" w14:textId="7D543BDB" w:rsidR="00F53D61" w:rsidRDefault="000E0945" w:rsidP="00F53D61">
      <w:pPr>
        <w:spacing w:before="240"/>
        <w:ind w:right="49"/>
        <w:jc w:val="both"/>
        <w:rPr>
          <w:rFonts w:ascii="Arial" w:hAnsi="Arial" w:cs="Arial"/>
          <w:sz w:val="24"/>
          <w:szCs w:val="24"/>
          <w:shd w:val="clear" w:color="auto" w:fill="FFFFFF"/>
        </w:rPr>
      </w:pPr>
      <w:r>
        <w:rPr>
          <w:rFonts w:ascii="Arial" w:hAnsi="Arial" w:cs="Arial"/>
          <w:sz w:val="24"/>
          <w:szCs w:val="24"/>
          <w:shd w:val="clear" w:color="auto" w:fill="FFFFFF"/>
        </w:rPr>
        <w:t>Sin embargo, l</w:t>
      </w:r>
      <w:r w:rsidR="00F53D61" w:rsidRPr="00F53D61">
        <w:rPr>
          <w:rFonts w:ascii="Arial" w:hAnsi="Arial" w:cs="Arial"/>
          <w:sz w:val="24"/>
          <w:szCs w:val="24"/>
          <w:shd w:val="clear" w:color="auto" w:fill="FFFFFF"/>
        </w:rPr>
        <w:t>a ley no está sujeta a prueba, en términos de los artículos 86 y 88 del Código Federal de Procedimientos Civiles, de aplicación supletoria de conformidad con el artículo 2° de la Ley de Amparo. Es aplicable la Jurisprudencia 2a./J. 65/2000, emitida por la Segunda Sala de la Suprema Corte de Justicia de la Nación, publicada en el Tomo XII, Agosto de 2000, en la Novena Época del Semanario Judicial de la Federación y su Gaceta, bajo el rubro y texto siguiente</w:t>
      </w:r>
      <w:r w:rsidR="00F53D61">
        <w:rPr>
          <w:rFonts w:ascii="Arial" w:hAnsi="Arial" w:cs="Arial"/>
          <w:sz w:val="24"/>
          <w:szCs w:val="24"/>
          <w:shd w:val="clear" w:color="auto" w:fill="FFFFFF"/>
        </w:rPr>
        <w:t>:</w:t>
      </w:r>
    </w:p>
    <w:p w14:paraId="26501B4F" w14:textId="77777777" w:rsidR="00F53D61" w:rsidRDefault="00F53D61" w:rsidP="00F53D61">
      <w:pPr>
        <w:spacing w:before="240"/>
        <w:ind w:left="708" w:right="49"/>
        <w:jc w:val="both"/>
        <w:rPr>
          <w:rFonts w:ascii="Arial" w:hAnsi="Arial" w:cs="Arial"/>
          <w:i/>
          <w:szCs w:val="24"/>
          <w:shd w:val="clear" w:color="auto" w:fill="FFFFFF"/>
        </w:rPr>
      </w:pPr>
      <w:r w:rsidRPr="000E0945">
        <w:rPr>
          <w:rFonts w:ascii="Arial" w:hAnsi="Arial" w:cs="Arial"/>
          <w:b/>
          <w:i/>
          <w:szCs w:val="24"/>
          <w:shd w:val="clear" w:color="auto" w:fill="FFFFFF"/>
        </w:rPr>
        <w:t xml:space="preserve"> “PRUEBA. CARGA DE LA MISMA RESPECTO DE LEYES, REGLAMENTOS, DECRETOS Y ACUERDOS DE INTERÉS GENERAL PUBLICADOS EN EL DIARIO OFICIAL DE LA FEDERACIÓN</w:t>
      </w:r>
      <w:r w:rsidRPr="000E0945">
        <w:rPr>
          <w:rFonts w:ascii="Arial" w:hAnsi="Arial" w:cs="Arial"/>
          <w:i/>
          <w:szCs w:val="24"/>
          <w:shd w:val="clear" w:color="auto" w:fill="FFFFFF"/>
        </w:rPr>
        <w:t>. Respecto de las leyes, reglamentos, decretos y acuerdos de interés general, no se necesita probar su existencia en autos, pues basta que estén publicados en el Diario Oficial, para que la autoridad judicial esté obligada a tomarlos en cuenta, en virtud de su naturaleza y obligatoriedad, y porque la inserción de tales documentos en el órgano oficial de difusión tiene por objeto dar publicidad al acto de que se trate, y tal publicidad determina precisamente que los tribunales, a quienes se les encomienda la aplicación del derecho, por la notoriedad de ese acontecimiento, no puedan argüir desconocerlo.</w:t>
      </w:r>
      <w:r w:rsidRPr="000E0945">
        <w:rPr>
          <w:rStyle w:val="Refdenotaalpie"/>
          <w:rFonts w:ascii="Arial" w:hAnsi="Arial" w:cs="Arial"/>
          <w:i/>
          <w:szCs w:val="24"/>
          <w:shd w:val="clear" w:color="auto" w:fill="FFFFFF"/>
        </w:rPr>
        <w:footnoteReference w:id="68"/>
      </w:r>
    </w:p>
    <w:p w14:paraId="3D4A3976" w14:textId="6750A6F2" w:rsidR="007C0E90" w:rsidRPr="000E0945" w:rsidRDefault="007C0E90" w:rsidP="007C0E90">
      <w:pPr>
        <w:spacing w:before="240"/>
        <w:ind w:right="49"/>
        <w:jc w:val="both"/>
        <w:rPr>
          <w:rFonts w:ascii="Arial" w:hAnsi="Arial" w:cs="Arial"/>
          <w:i/>
          <w:szCs w:val="24"/>
          <w:shd w:val="clear" w:color="auto" w:fill="FFFFFF"/>
        </w:rPr>
      </w:pPr>
      <w:r>
        <w:rPr>
          <w:rFonts w:ascii="Arial" w:hAnsi="Arial" w:cs="Arial"/>
          <w:b/>
          <w:sz w:val="24"/>
          <w:szCs w:val="24"/>
          <w:shd w:val="clear" w:color="auto" w:fill="FFFFFF"/>
        </w:rPr>
        <w:t xml:space="preserve">4. </w:t>
      </w:r>
      <w:r w:rsidRPr="000E0945">
        <w:rPr>
          <w:rFonts w:ascii="Arial" w:hAnsi="Arial" w:cs="Arial"/>
          <w:b/>
          <w:sz w:val="24"/>
          <w:szCs w:val="24"/>
          <w:shd w:val="clear" w:color="auto" w:fill="FFFFFF"/>
        </w:rPr>
        <w:t>INSTRUMENTAL DE ACTUACIONES</w:t>
      </w:r>
      <w:r>
        <w:rPr>
          <w:rFonts w:ascii="Arial" w:hAnsi="Arial" w:cs="Arial"/>
          <w:b/>
          <w:sz w:val="24"/>
          <w:szCs w:val="24"/>
          <w:shd w:val="clear" w:color="auto" w:fill="FFFFFF"/>
        </w:rPr>
        <w:t xml:space="preserve">. </w:t>
      </w:r>
      <w:r w:rsidRPr="007C0E90">
        <w:rPr>
          <w:rFonts w:ascii="Arial" w:hAnsi="Arial" w:cs="Arial"/>
          <w:sz w:val="24"/>
          <w:szCs w:val="24"/>
          <w:shd w:val="clear" w:color="auto" w:fill="FFFFFF"/>
        </w:rPr>
        <w:t>Consistente en la totalidad de las actuaciones que integran el presente expediente.</w:t>
      </w:r>
      <w:r>
        <w:rPr>
          <w:rFonts w:ascii="Arial" w:hAnsi="Arial" w:cs="Arial"/>
          <w:b/>
          <w:sz w:val="24"/>
          <w:szCs w:val="24"/>
          <w:shd w:val="clear" w:color="auto" w:fill="FFFFFF"/>
        </w:rPr>
        <w:t xml:space="preserve"> </w:t>
      </w:r>
    </w:p>
    <w:p w14:paraId="4B44BF61" w14:textId="7566F328" w:rsidR="007B077D" w:rsidRDefault="001A4E5C" w:rsidP="00880FA0">
      <w:pPr>
        <w:pStyle w:val="Prrafodelista"/>
        <w:ind w:left="0"/>
        <w:jc w:val="both"/>
        <w:rPr>
          <w:rFonts w:ascii="Arial" w:hAnsi="Arial" w:cs="Arial"/>
          <w:b/>
          <w:sz w:val="24"/>
          <w:szCs w:val="24"/>
        </w:rPr>
      </w:pPr>
      <w:r>
        <w:rPr>
          <w:rFonts w:ascii="Arial" w:hAnsi="Arial" w:cs="Arial"/>
          <w:sz w:val="24"/>
          <w:szCs w:val="24"/>
          <w:shd w:val="clear" w:color="auto" w:fill="FFFFFF"/>
        </w:rPr>
        <w:tab/>
      </w:r>
      <w:r w:rsidR="0045044F">
        <w:rPr>
          <w:rFonts w:ascii="Arial" w:hAnsi="Arial" w:cs="Arial"/>
          <w:sz w:val="24"/>
          <w:szCs w:val="24"/>
        </w:rPr>
        <w:tab/>
      </w:r>
      <w:r w:rsidR="00E319E2">
        <w:rPr>
          <w:rFonts w:ascii="Arial" w:hAnsi="Arial" w:cs="Arial"/>
          <w:b/>
          <w:bCs/>
          <w:color w:val="333333"/>
          <w:sz w:val="24"/>
          <w:szCs w:val="24"/>
          <w:shd w:val="clear" w:color="auto" w:fill="FFFFFF"/>
        </w:rPr>
        <w:tab/>
      </w:r>
      <w:r w:rsidR="009E087F" w:rsidRPr="00EF2874">
        <w:rPr>
          <w:rFonts w:ascii="Arial" w:hAnsi="Arial" w:cs="Arial"/>
          <w:b/>
          <w:sz w:val="24"/>
          <w:szCs w:val="24"/>
        </w:rPr>
        <w:t>IX.- SUSPENSIÓN DEL ACTO RECLAMADO</w:t>
      </w:r>
      <w:r w:rsidR="0045044F">
        <w:rPr>
          <w:rFonts w:ascii="Arial" w:hAnsi="Arial" w:cs="Arial"/>
          <w:b/>
          <w:sz w:val="24"/>
          <w:szCs w:val="24"/>
        </w:rPr>
        <w:t>.</w:t>
      </w:r>
      <w:r w:rsidR="009E087F">
        <w:rPr>
          <w:rFonts w:ascii="Arial" w:hAnsi="Arial" w:cs="Arial"/>
          <w:b/>
          <w:sz w:val="24"/>
          <w:szCs w:val="24"/>
        </w:rPr>
        <w:t xml:space="preserve"> </w:t>
      </w:r>
    </w:p>
    <w:p w14:paraId="603BB8BA" w14:textId="77777777" w:rsidR="007B077D" w:rsidRDefault="007B077D" w:rsidP="007B077D">
      <w:pPr>
        <w:pStyle w:val="Prrafodelista"/>
        <w:ind w:left="1068"/>
        <w:jc w:val="both"/>
        <w:rPr>
          <w:rFonts w:ascii="Arial" w:hAnsi="Arial" w:cs="Arial"/>
          <w:b/>
          <w:sz w:val="24"/>
          <w:szCs w:val="24"/>
        </w:rPr>
      </w:pPr>
    </w:p>
    <w:p w14:paraId="3CF9A653" w14:textId="27E0DC46" w:rsidR="00880FA0" w:rsidRDefault="009E087F" w:rsidP="00880FA0">
      <w:pPr>
        <w:pStyle w:val="Prrafodelista"/>
        <w:ind w:left="0"/>
        <w:jc w:val="both"/>
        <w:rPr>
          <w:rFonts w:ascii="Arial" w:hAnsi="Arial" w:cs="Arial"/>
          <w:sz w:val="24"/>
          <w:szCs w:val="24"/>
          <w:shd w:val="clear" w:color="auto" w:fill="FFFFFF"/>
        </w:rPr>
      </w:pPr>
      <w:r w:rsidRPr="00EF2874">
        <w:rPr>
          <w:rFonts w:ascii="Arial" w:hAnsi="Arial" w:cs="Arial"/>
          <w:b/>
          <w:sz w:val="24"/>
          <w:szCs w:val="24"/>
        </w:rPr>
        <w:t>Petición de parte.-</w:t>
      </w:r>
      <w:r w:rsidRPr="00EF2874">
        <w:rPr>
          <w:rFonts w:ascii="Arial" w:hAnsi="Arial" w:cs="Arial"/>
          <w:sz w:val="24"/>
          <w:szCs w:val="24"/>
        </w:rPr>
        <w:t xml:space="preserve"> Con fundamento en los artículos 128, 129, 130 y demás relativos y aplicables de la Ley de Amparo </w:t>
      </w:r>
      <w:r w:rsidRPr="00EF2874">
        <w:rPr>
          <w:rFonts w:ascii="Arial" w:hAnsi="Arial" w:cs="Arial"/>
          <w:sz w:val="24"/>
          <w:szCs w:val="24"/>
          <w:lang w:val="es-ES"/>
        </w:rPr>
        <w:t xml:space="preserve">pido la suspensión </w:t>
      </w:r>
      <w:r w:rsidR="00283192">
        <w:rPr>
          <w:rFonts w:ascii="Arial" w:hAnsi="Arial" w:cs="Arial"/>
          <w:sz w:val="24"/>
          <w:szCs w:val="24"/>
          <w:lang w:val="es-ES"/>
        </w:rPr>
        <w:t>del acto reclamado</w:t>
      </w:r>
      <w:r>
        <w:rPr>
          <w:rFonts w:ascii="Arial" w:hAnsi="Arial" w:cs="Arial"/>
          <w:sz w:val="24"/>
          <w:szCs w:val="24"/>
          <w:lang w:val="es-ES"/>
        </w:rPr>
        <w:t>, para el efecto de que</w:t>
      </w:r>
      <w:r w:rsidR="00151B58">
        <w:rPr>
          <w:rFonts w:ascii="Arial" w:hAnsi="Arial" w:cs="Arial"/>
          <w:sz w:val="24"/>
          <w:szCs w:val="24"/>
          <w:lang w:val="es-ES"/>
        </w:rPr>
        <w:t xml:space="preserve"> s</w:t>
      </w:r>
      <w:r w:rsidR="00AC2CFC" w:rsidRPr="00151B58">
        <w:rPr>
          <w:rFonts w:ascii="Arial" w:hAnsi="Arial" w:cs="Arial"/>
          <w:sz w:val="24"/>
          <w:szCs w:val="24"/>
          <w:lang w:val="es-ES"/>
        </w:rPr>
        <w:t xml:space="preserve">e </w:t>
      </w:r>
      <w:r w:rsidR="00151B58" w:rsidRPr="00151B58">
        <w:rPr>
          <w:rFonts w:ascii="Arial" w:hAnsi="Arial" w:cs="Arial"/>
          <w:sz w:val="24"/>
          <w:szCs w:val="24"/>
          <w:lang w:val="es-ES"/>
        </w:rPr>
        <w:t xml:space="preserve">suspenda la aplicación </w:t>
      </w:r>
      <w:r w:rsidR="00880FA0">
        <w:rPr>
          <w:rFonts w:ascii="Arial" w:hAnsi="Arial" w:cs="Arial"/>
          <w:sz w:val="24"/>
          <w:szCs w:val="24"/>
          <w:shd w:val="clear" w:color="auto" w:fill="FFFFFF"/>
        </w:rPr>
        <w:t>de las normas generales reclamadas y de sus consecuencias para el efecto de que no se cumpla lo que ordenan hasta que se resuelva el presente juicio de amparo</w:t>
      </w:r>
      <w:r w:rsidR="001A1EEF">
        <w:rPr>
          <w:rFonts w:ascii="Arial" w:hAnsi="Arial" w:cs="Arial"/>
          <w:sz w:val="24"/>
          <w:szCs w:val="24"/>
          <w:shd w:val="clear" w:color="auto" w:fill="FFFFFF"/>
        </w:rPr>
        <w:t>.</w:t>
      </w:r>
    </w:p>
    <w:p w14:paraId="6756C576" w14:textId="77777777" w:rsidR="00880FA0" w:rsidRDefault="007B077D" w:rsidP="007B077D">
      <w:pPr>
        <w:pStyle w:val="Prrafodelista"/>
        <w:ind w:left="0" w:firstLine="348"/>
        <w:jc w:val="both"/>
        <w:rPr>
          <w:rFonts w:ascii="Arial" w:hAnsi="Arial" w:cs="Arial"/>
          <w:sz w:val="24"/>
          <w:szCs w:val="24"/>
          <w:lang w:val="es-ES"/>
        </w:rPr>
      </w:pPr>
      <w:r>
        <w:rPr>
          <w:rFonts w:ascii="Arial" w:hAnsi="Arial" w:cs="Arial"/>
          <w:sz w:val="24"/>
          <w:szCs w:val="24"/>
          <w:lang w:val="es-ES"/>
        </w:rPr>
        <w:tab/>
      </w:r>
      <w:r w:rsidR="00151B58" w:rsidRPr="00151B58">
        <w:rPr>
          <w:rFonts w:ascii="Arial" w:hAnsi="Arial" w:cs="Arial"/>
          <w:sz w:val="24"/>
          <w:szCs w:val="24"/>
          <w:lang w:val="es-ES"/>
        </w:rPr>
        <w:t>Esto es, solicito la suspensión para que s</w:t>
      </w:r>
      <w:r w:rsidR="009E087F" w:rsidRPr="00151B58">
        <w:rPr>
          <w:rFonts w:ascii="Arial" w:hAnsi="Arial" w:cs="Arial"/>
          <w:sz w:val="24"/>
          <w:szCs w:val="24"/>
          <w:lang w:val="es-ES"/>
        </w:rPr>
        <w:t>e</w:t>
      </w:r>
      <w:r w:rsidR="00AC2CFC" w:rsidRPr="00151B58">
        <w:rPr>
          <w:rFonts w:ascii="Arial" w:hAnsi="Arial" w:cs="Arial"/>
          <w:sz w:val="24"/>
          <w:szCs w:val="24"/>
          <w:lang w:val="es-ES"/>
        </w:rPr>
        <w:t xml:space="preserve"> </w:t>
      </w:r>
      <w:r w:rsidR="009E087F" w:rsidRPr="00151B58">
        <w:rPr>
          <w:rFonts w:ascii="Arial" w:hAnsi="Arial" w:cs="Arial"/>
          <w:sz w:val="24"/>
          <w:szCs w:val="24"/>
          <w:lang w:val="es-ES"/>
        </w:rPr>
        <w:t xml:space="preserve">ordene a las autoridades responsables </w:t>
      </w:r>
      <w:r w:rsidR="00AC2CFC" w:rsidRPr="00151B58">
        <w:rPr>
          <w:rFonts w:ascii="Arial" w:hAnsi="Arial" w:cs="Arial"/>
          <w:sz w:val="24"/>
          <w:szCs w:val="24"/>
          <w:lang w:val="es-ES"/>
        </w:rPr>
        <w:t xml:space="preserve">suspender cualquier acto de los Elementos </w:t>
      </w:r>
      <w:r w:rsidR="00880FA0">
        <w:rPr>
          <w:rFonts w:ascii="Arial" w:hAnsi="Arial" w:cs="Arial"/>
          <w:sz w:val="24"/>
          <w:szCs w:val="24"/>
          <w:lang w:val="es-ES"/>
        </w:rPr>
        <w:t xml:space="preserve">de la Guardia Nacional y </w:t>
      </w:r>
      <w:r w:rsidR="00AC2CFC" w:rsidRPr="00151B58">
        <w:rPr>
          <w:rFonts w:ascii="Arial" w:hAnsi="Arial" w:cs="Arial"/>
          <w:sz w:val="24"/>
          <w:szCs w:val="24"/>
          <w:lang w:val="es-ES"/>
        </w:rPr>
        <w:t>de la Fuerza Armada permanente, que consista en su participación en las funciones de la seguridad pública, derivadas de la norma reclamada, mientras se resuelve la constitucionalidad y convencionalidad del juicio de amparo, toda vez que permitir la aplicación de los efectos del acuerdo presidencial reclamado podría traer consigo afectaciones irreparables hacia mi vida, integridad física y libertad personal.</w:t>
      </w:r>
      <w:r w:rsidR="00533FF8">
        <w:rPr>
          <w:rFonts w:ascii="Arial" w:hAnsi="Arial" w:cs="Arial"/>
          <w:sz w:val="24"/>
          <w:szCs w:val="24"/>
          <w:lang w:val="es-ES"/>
        </w:rPr>
        <w:t xml:space="preserve"> </w:t>
      </w:r>
    </w:p>
    <w:p w14:paraId="381943B0" w14:textId="77777777" w:rsidR="001A1EEF" w:rsidRDefault="001A1EEF" w:rsidP="001A1EEF">
      <w:pPr>
        <w:pStyle w:val="Prrafodelista"/>
        <w:ind w:left="0" w:firstLine="708"/>
        <w:jc w:val="both"/>
        <w:rPr>
          <w:rFonts w:ascii="Arial" w:hAnsi="Arial" w:cs="Arial"/>
          <w:sz w:val="24"/>
          <w:szCs w:val="24"/>
          <w:shd w:val="clear" w:color="auto" w:fill="FFFFFF"/>
        </w:rPr>
      </w:pPr>
      <w:r>
        <w:rPr>
          <w:rFonts w:ascii="Arial" w:hAnsi="Arial" w:cs="Arial"/>
          <w:sz w:val="24"/>
          <w:szCs w:val="24"/>
          <w:shd w:val="clear" w:color="auto" w:fill="FFFFFF"/>
        </w:rPr>
        <w:t xml:space="preserve">Pedimos la suspensión para el efecto de que el personal activo de la Secretaría de la Defensa Nacional incluyendo los elementos de las Fuerzas Armadas Permanentes y de la Guardia Nacional no nos prive de la vida, de la libertad de tránsito, libertad de deambulación, libertad de reunión y de libre manifestación pública, así como </w:t>
      </w:r>
      <w:r>
        <w:rPr>
          <w:rFonts w:ascii="Arial" w:hAnsi="Arial" w:cs="Arial"/>
          <w:sz w:val="24"/>
          <w:szCs w:val="24"/>
          <w:shd w:val="clear" w:color="auto" w:fill="FFFFFF"/>
        </w:rPr>
        <w:lastRenderedPageBreak/>
        <w:t>para que no lesione nuestra integridad física, torture, incomunique, ni desaparezca en nuestra próxima manifestación pública pacífica que se llevara a cabo en la Ciudad de México el día 27 de noviembre de 2022</w:t>
      </w:r>
      <w:r>
        <w:rPr>
          <w:rStyle w:val="Refdenotaalpie"/>
          <w:rFonts w:ascii="Arial" w:hAnsi="Arial" w:cs="Arial"/>
          <w:sz w:val="24"/>
          <w:szCs w:val="24"/>
          <w:shd w:val="clear" w:color="auto" w:fill="FFFFFF"/>
        </w:rPr>
        <w:footnoteReference w:id="69"/>
      </w:r>
      <w:r>
        <w:rPr>
          <w:rFonts w:ascii="Arial" w:hAnsi="Arial" w:cs="Arial"/>
          <w:sz w:val="24"/>
          <w:szCs w:val="24"/>
          <w:shd w:val="clear" w:color="auto" w:fill="FFFFFF"/>
        </w:rPr>
        <w:t xml:space="preserve"> y en cualquier otra que se lleve a cabo hasta antes de que cause ejecutoria la sentencia que resuelva el presente amparo, y así prevenir lo que aconteció el pasado domingo 16 de octubre de 2022 en Ocotlán, Jalisco, cuando dispararon a manifestantes, o lo que ha ocurrido con otras víctimas de la Guardia Nacional o del Ejército en México. </w:t>
      </w:r>
    </w:p>
    <w:p w14:paraId="786F3DCC" w14:textId="31E7B614" w:rsidR="001A1EEF" w:rsidRDefault="001A1EEF" w:rsidP="001A1EEF">
      <w:pPr>
        <w:pStyle w:val="Prrafodelista"/>
        <w:ind w:left="0" w:firstLine="348"/>
        <w:jc w:val="both"/>
        <w:rPr>
          <w:rFonts w:ascii="Arial" w:hAnsi="Arial" w:cs="Arial"/>
          <w:sz w:val="24"/>
          <w:szCs w:val="24"/>
          <w:shd w:val="clear" w:color="auto" w:fill="FFFFFF"/>
        </w:rPr>
      </w:pPr>
      <w:r>
        <w:rPr>
          <w:rFonts w:ascii="Arial" w:hAnsi="Arial" w:cs="Arial"/>
          <w:sz w:val="24"/>
          <w:szCs w:val="24"/>
          <w:shd w:val="clear" w:color="auto" w:fill="FFFFFF"/>
        </w:rPr>
        <w:t xml:space="preserve">Asimismo, pedimos que conceda la suspensión tomando en consideración la suspensión provisional decretada en el juicio de amparo 1161/2022, del índice del Juzgado Noveno de Distrito en el Estado de Guanajuato. </w:t>
      </w:r>
    </w:p>
    <w:p w14:paraId="4ED763B7" w14:textId="77777777" w:rsidR="001A1EEF" w:rsidRDefault="001A1EEF" w:rsidP="007B077D">
      <w:pPr>
        <w:pStyle w:val="Prrafodelista"/>
        <w:ind w:left="0" w:firstLine="348"/>
        <w:jc w:val="both"/>
        <w:rPr>
          <w:rFonts w:ascii="Arial" w:hAnsi="Arial" w:cs="Arial"/>
          <w:sz w:val="24"/>
          <w:szCs w:val="24"/>
          <w:lang w:val="es-ES"/>
        </w:rPr>
      </w:pPr>
    </w:p>
    <w:p w14:paraId="18FD72EF" w14:textId="6B0BB855" w:rsidR="001A1EEF" w:rsidRDefault="001A1EEF" w:rsidP="007B077D">
      <w:pPr>
        <w:pStyle w:val="Prrafodelista"/>
        <w:ind w:left="0" w:firstLine="348"/>
        <w:jc w:val="both"/>
        <w:rPr>
          <w:rFonts w:ascii="Arial" w:hAnsi="Arial" w:cs="Arial"/>
          <w:sz w:val="24"/>
        </w:rPr>
      </w:pPr>
      <w:r>
        <w:rPr>
          <w:rFonts w:ascii="Arial" w:hAnsi="Arial" w:cs="Arial"/>
          <w:sz w:val="24"/>
        </w:rPr>
        <w:t>P</w:t>
      </w:r>
      <w:r w:rsidRPr="001A1EEF">
        <w:rPr>
          <w:rFonts w:ascii="Arial" w:hAnsi="Arial" w:cs="Arial"/>
          <w:sz w:val="24"/>
        </w:rPr>
        <w:t>ara que las cosas se retrotraigan al estado que guarda</w:t>
      </w:r>
      <w:r>
        <w:rPr>
          <w:rFonts w:ascii="Arial" w:hAnsi="Arial" w:cs="Arial"/>
          <w:sz w:val="24"/>
        </w:rPr>
        <w:t xml:space="preserve">ban antes de la promulgación de la norma general reclamada. </w:t>
      </w:r>
    </w:p>
    <w:p w14:paraId="53C5EC6B" w14:textId="696D9856" w:rsidR="001A1EEF" w:rsidRDefault="001A1EEF" w:rsidP="007B077D">
      <w:pPr>
        <w:pStyle w:val="Prrafodelista"/>
        <w:ind w:left="0" w:firstLine="348"/>
        <w:jc w:val="both"/>
        <w:rPr>
          <w:rFonts w:ascii="Arial" w:hAnsi="Arial" w:cs="Arial"/>
          <w:sz w:val="24"/>
        </w:rPr>
      </w:pPr>
      <w:r>
        <w:rPr>
          <w:rFonts w:ascii="Arial" w:hAnsi="Arial" w:cs="Arial"/>
          <w:sz w:val="24"/>
        </w:rPr>
        <w:t>Para que n</w:t>
      </w:r>
      <w:r w:rsidRPr="001A1EEF">
        <w:rPr>
          <w:rFonts w:ascii="Arial" w:hAnsi="Arial" w:cs="Arial"/>
          <w:sz w:val="24"/>
        </w:rPr>
        <w:t>o se transfiera el control operativo y administrativo de la Guardia Nacional a la Secretaría de la Defensa Nacional, y dicho organismo continúe bajo el mando de la Secretaría de Seguridad y Protección Ciudadana, como prescribe el artículo 21 de la Constitución.</w:t>
      </w:r>
    </w:p>
    <w:p w14:paraId="2C7A0B7C" w14:textId="0DD0E57D" w:rsidR="001A1EEF" w:rsidRPr="001A1EEF" w:rsidRDefault="001A1EEF" w:rsidP="007B077D">
      <w:pPr>
        <w:pStyle w:val="Prrafodelista"/>
        <w:ind w:left="0" w:firstLine="348"/>
        <w:jc w:val="both"/>
        <w:rPr>
          <w:rFonts w:ascii="Arial" w:hAnsi="Arial" w:cs="Arial"/>
          <w:sz w:val="36"/>
          <w:szCs w:val="24"/>
          <w:lang w:val="es-ES"/>
        </w:rPr>
      </w:pPr>
      <w:r>
        <w:rPr>
          <w:rFonts w:ascii="Arial" w:hAnsi="Arial" w:cs="Arial"/>
          <w:sz w:val="24"/>
        </w:rPr>
        <w:t>Para que l</w:t>
      </w:r>
      <w:r w:rsidRPr="001A1EEF">
        <w:rPr>
          <w:rFonts w:ascii="Arial" w:hAnsi="Arial" w:cs="Arial"/>
          <w:sz w:val="24"/>
        </w:rPr>
        <w:t>as Secretarías de Seguridad y Protección Ciudadana y de la Defensa Nacional suspendan de inmediato la transferencia de recursos presupuestarios, financieros y materiales a que se refiere el artículo Sexto transitorio, fracción II, del decreto combatido. En el supuesto de que dicha transferencia haya iniciado ya, deberán restituirse todos los recursos de la Guardia Nacional a la Secretaría de Seguridad y Protección Ciudadana, en los términos previstos en el Presupuesto de Egresos de dos mil veintidós.</w:t>
      </w:r>
    </w:p>
    <w:p w14:paraId="31DB13FC" w14:textId="7EB2034F" w:rsidR="001A1EEF" w:rsidRPr="001A1EEF" w:rsidRDefault="001A1EEF" w:rsidP="001A1EEF">
      <w:pPr>
        <w:pStyle w:val="Prrafodelista"/>
        <w:ind w:left="0" w:firstLine="348"/>
        <w:jc w:val="both"/>
        <w:rPr>
          <w:rFonts w:ascii="Arial" w:hAnsi="Arial" w:cs="Arial"/>
          <w:sz w:val="24"/>
        </w:rPr>
      </w:pPr>
      <w:r>
        <w:rPr>
          <w:rFonts w:ascii="Arial" w:hAnsi="Arial" w:cs="Arial"/>
          <w:sz w:val="24"/>
        </w:rPr>
        <w:t>Para que t</w:t>
      </w:r>
      <w:r w:rsidRPr="001A1EEF">
        <w:rPr>
          <w:rFonts w:ascii="Arial" w:hAnsi="Arial" w:cs="Arial"/>
          <w:sz w:val="24"/>
        </w:rPr>
        <w:t xml:space="preserve">odas las autoridades, en el ámbito de sus competencias, están obligadas a cumplir con la suspensión otorgada, aun en el supuesto de que no hubieren sido llamadas como responsables, de conformidad con lo dispuesto por el artículo 158 de la Ley de Amparo. En tal virtud, se vincula al Secretario de Hacienda y Crédito Público, al cumplimiento de la presente suspensión provisional, para que realice todos los actos necesarios para que no se lleve a cabo la transferencia de recursos de la Secretaría de Seguridad y Protección Ciudadana a la Secretaría de la Defensa Nacional, y para que se restituyan aquellos ya transferidos. </w:t>
      </w:r>
    </w:p>
    <w:p w14:paraId="2D1D6E1D" w14:textId="4713693F" w:rsidR="00880FA0" w:rsidRDefault="00880FA0" w:rsidP="00880FA0">
      <w:pPr>
        <w:pStyle w:val="Prrafodelista"/>
        <w:ind w:left="0"/>
        <w:jc w:val="both"/>
        <w:rPr>
          <w:rFonts w:ascii="Arial" w:hAnsi="Arial" w:cs="Arial"/>
          <w:sz w:val="24"/>
          <w:szCs w:val="24"/>
          <w:lang w:val="es-ES"/>
        </w:rPr>
      </w:pPr>
    </w:p>
    <w:p w14:paraId="1965926E" w14:textId="06E227CC" w:rsidR="00151B58" w:rsidRPr="00151B58" w:rsidRDefault="00151B58" w:rsidP="007B077D">
      <w:pPr>
        <w:pStyle w:val="Prrafodelista"/>
        <w:ind w:left="0" w:firstLine="348"/>
        <w:jc w:val="both"/>
        <w:rPr>
          <w:rFonts w:ascii="Arial" w:hAnsi="Arial" w:cs="Arial"/>
          <w:sz w:val="24"/>
          <w:szCs w:val="24"/>
          <w:lang w:val="es-ES"/>
        </w:rPr>
      </w:pPr>
      <w:r w:rsidRPr="00151B58">
        <w:rPr>
          <w:rFonts w:ascii="Arial" w:hAnsi="Arial" w:cs="Arial"/>
          <w:sz w:val="24"/>
          <w:szCs w:val="24"/>
          <w:lang w:val="es-ES"/>
        </w:rPr>
        <w:t>Sirven de apoyo a lo anterior</w:t>
      </w:r>
      <w:r>
        <w:rPr>
          <w:rFonts w:ascii="Arial" w:hAnsi="Arial" w:cs="Arial"/>
          <w:sz w:val="24"/>
          <w:szCs w:val="24"/>
          <w:lang w:val="es-ES"/>
        </w:rPr>
        <w:t xml:space="preserve"> las tesis siguientes:</w:t>
      </w:r>
    </w:p>
    <w:p w14:paraId="0251E765" w14:textId="5F02275F" w:rsidR="002F5E53" w:rsidRPr="008C1067" w:rsidRDefault="00533FF8" w:rsidP="00533FF8">
      <w:pPr>
        <w:spacing w:line="240" w:lineRule="auto"/>
        <w:ind w:left="567" w:right="284" w:firstLine="709"/>
        <w:jc w:val="both"/>
        <w:rPr>
          <w:rFonts w:ascii="Arial" w:hAnsi="Arial" w:cs="Arial"/>
          <w:b/>
          <w:bCs/>
          <w:i/>
          <w:iCs/>
        </w:rPr>
      </w:pPr>
      <w:r w:rsidRPr="008C1067">
        <w:rPr>
          <w:rFonts w:ascii="Arial" w:hAnsi="Arial" w:cs="Arial"/>
          <w:b/>
          <w:bCs/>
          <w:i/>
          <w:iCs/>
        </w:rPr>
        <w:t>“</w:t>
      </w:r>
      <w:r w:rsidR="002F5E53" w:rsidRPr="008C1067">
        <w:rPr>
          <w:rFonts w:ascii="Arial" w:hAnsi="Arial" w:cs="Arial"/>
          <w:b/>
          <w:bCs/>
          <w:i/>
          <w:iCs/>
        </w:rPr>
        <w:t>EXTINCIÓN DE DOMINIO. PROCEDE CONCEDER LA SUSPENSIÓN PROVISIONAL PARA IMPEDIR LOS EFECTOS Y CONSECUENCIAS DE LA LEY RELATIVA, RELACIONADOS CON LA REGULACIÓN DE LOS REQUISITOS PARA GOZAR DE "LA PRESUNCIÓN DE BUENA FE EN LA ADQUISICIÓN Y DESTINO DE BIENES", CUANDO SE RECLAME COMO NORMA AUTOAPLICATIVA</w:t>
      </w:r>
      <w:r w:rsidR="00151B58" w:rsidRPr="008C1067">
        <w:rPr>
          <w:rFonts w:ascii="Arial" w:hAnsi="Arial" w:cs="Arial"/>
          <w:b/>
          <w:bCs/>
          <w:i/>
          <w:iCs/>
        </w:rPr>
        <w:t>”</w:t>
      </w:r>
      <w:r w:rsidR="00151B58" w:rsidRPr="008C1067">
        <w:rPr>
          <w:rStyle w:val="Refdenotaalpie"/>
          <w:rFonts w:ascii="Arial" w:hAnsi="Arial" w:cs="Arial"/>
          <w:b/>
          <w:bCs/>
          <w:i/>
          <w:iCs/>
        </w:rPr>
        <w:footnoteReference w:id="70"/>
      </w:r>
    </w:p>
    <w:p w14:paraId="23928E01" w14:textId="67000FB2" w:rsidR="00386CCD" w:rsidRPr="008C1067" w:rsidRDefault="00151B58" w:rsidP="00533FF8">
      <w:pPr>
        <w:spacing w:line="240" w:lineRule="auto"/>
        <w:ind w:left="567" w:right="284" w:firstLine="709"/>
        <w:jc w:val="both"/>
        <w:rPr>
          <w:rFonts w:ascii="Arial" w:hAnsi="Arial" w:cs="Arial"/>
          <w:b/>
          <w:bCs/>
          <w:i/>
          <w:iCs/>
        </w:rPr>
      </w:pPr>
      <w:r w:rsidRPr="008C1067">
        <w:rPr>
          <w:rFonts w:ascii="Arial" w:hAnsi="Arial" w:cs="Arial"/>
          <w:b/>
          <w:bCs/>
          <w:i/>
          <w:iCs/>
        </w:rPr>
        <w:t>“</w:t>
      </w:r>
      <w:r w:rsidR="00386CCD" w:rsidRPr="008C1067">
        <w:rPr>
          <w:rFonts w:ascii="Arial" w:hAnsi="Arial" w:cs="Arial"/>
          <w:b/>
          <w:bCs/>
          <w:i/>
          <w:iCs/>
        </w:rPr>
        <w:t>SUSPENSIÓN CONTRA LAS CONSECUENCIAS DE LEYES AUTOAPLICATIVAS</w:t>
      </w:r>
      <w:r w:rsidRPr="008C1067">
        <w:rPr>
          <w:rFonts w:ascii="Arial" w:hAnsi="Arial" w:cs="Arial"/>
          <w:b/>
          <w:bCs/>
          <w:i/>
          <w:iCs/>
        </w:rPr>
        <w:t>”</w:t>
      </w:r>
      <w:r w:rsidRPr="008C1067">
        <w:rPr>
          <w:rStyle w:val="Refdenotaalpie"/>
          <w:rFonts w:ascii="Arial" w:hAnsi="Arial" w:cs="Arial"/>
          <w:b/>
          <w:bCs/>
          <w:i/>
          <w:iCs/>
        </w:rPr>
        <w:footnoteReference w:id="71"/>
      </w:r>
    </w:p>
    <w:p w14:paraId="1DCA5E4B" w14:textId="77777777" w:rsidR="00E14ACD" w:rsidRPr="008C1067" w:rsidRDefault="00533FF8" w:rsidP="00E14ACD">
      <w:pPr>
        <w:spacing w:line="240" w:lineRule="auto"/>
        <w:ind w:left="567" w:right="284" w:firstLine="709"/>
        <w:jc w:val="both"/>
        <w:rPr>
          <w:rFonts w:ascii="Arial" w:hAnsi="Arial" w:cs="Arial"/>
          <w:b/>
          <w:bCs/>
          <w:i/>
          <w:iCs/>
        </w:rPr>
      </w:pPr>
      <w:r w:rsidRPr="008C1067">
        <w:rPr>
          <w:rFonts w:ascii="Arial" w:hAnsi="Arial" w:cs="Arial"/>
          <w:b/>
          <w:bCs/>
          <w:i/>
          <w:iCs/>
        </w:rPr>
        <w:t>“</w:t>
      </w:r>
      <w:r w:rsidR="00386CCD" w:rsidRPr="008C1067">
        <w:rPr>
          <w:rFonts w:ascii="Arial" w:hAnsi="Arial" w:cs="Arial"/>
          <w:b/>
          <w:bCs/>
          <w:i/>
          <w:iCs/>
        </w:rPr>
        <w:t>SUSPENSION. PROCEDE CONTRA LOS ACTOS DE EJECUCION DE UN DECRETO MATERIALMENTE LEGISLATIVO Y DE NATURALEZA AUTOAPLICATIVA (DECRETO NUMERO 34 EXPEDIDO POR EL GOBERNADOR DEL ESTADO DE YUCATAN)</w:t>
      </w:r>
      <w:r w:rsidRPr="008C1067">
        <w:rPr>
          <w:rFonts w:ascii="Arial" w:hAnsi="Arial" w:cs="Arial"/>
          <w:b/>
          <w:bCs/>
          <w:i/>
          <w:iCs/>
        </w:rPr>
        <w:t>"</w:t>
      </w:r>
      <w:r w:rsidRPr="008C1067">
        <w:rPr>
          <w:rStyle w:val="Refdenotaalpie"/>
          <w:rFonts w:ascii="Arial" w:hAnsi="Arial" w:cs="Arial"/>
          <w:b/>
          <w:bCs/>
          <w:i/>
          <w:iCs/>
        </w:rPr>
        <w:footnoteReference w:id="72"/>
      </w:r>
    </w:p>
    <w:p w14:paraId="3E77DA03" w14:textId="419E1439" w:rsidR="009E087F" w:rsidRPr="00296974" w:rsidRDefault="00D9790C" w:rsidP="00D9790C">
      <w:pPr>
        <w:ind w:firstLine="709"/>
        <w:jc w:val="both"/>
        <w:rPr>
          <w:rFonts w:ascii="Arial" w:hAnsi="Arial" w:cs="Arial"/>
          <w:szCs w:val="24"/>
        </w:rPr>
      </w:pPr>
      <w:r>
        <w:rPr>
          <w:rFonts w:ascii="Arial" w:hAnsi="Arial" w:cs="Arial"/>
          <w:sz w:val="24"/>
        </w:rPr>
        <w:lastRenderedPageBreak/>
        <w:t xml:space="preserve"> </w:t>
      </w:r>
      <w:r w:rsidR="009E087F" w:rsidRPr="00296974">
        <w:rPr>
          <w:rFonts w:ascii="Arial" w:hAnsi="Arial" w:cs="Arial"/>
          <w:szCs w:val="24"/>
        </w:rPr>
        <w:t>“</w:t>
      </w:r>
      <w:r w:rsidR="009E087F" w:rsidRPr="00296974">
        <w:rPr>
          <w:rFonts w:ascii="Arial" w:hAnsi="Arial" w:cs="Arial"/>
          <w:b/>
          <w:i/>
          <w:szCs w:val="24"/>
        </w:rPr>
        <w:t>PRINCIPIOS DE UNIVERSALIDAD, INTERDEPENDENCIA, INDIVISIBILIDAD Y PROGRESIVIDAD ESTABLECIDOS EN LA CONSTITUCIÓN FEDERAL. REPRESENTAN CRITERIOS DE OPTIMIZACIÓN INTERPRETATIVA DE LOS DERECHOS FUNDAMENTALES</w:t>
      </w:r>
      <w:r w:rsidR="009E087F" w:rsidRPr="00296974">
        <w:rPr>
          <w:rFonts w:ascii="Arial" w:hAnsi="Arial" w:cs="Arial"/>
          <w:szCs w:val="24"/>
        </w:rPr>
        <w:t>”</w:t>
      </w:r>
      <w:r w:rsidR="009E087F" w:rsidRPr="00296974">
        <w:rPr>
          <w:rStyle w:val="Refdenotaalpie"/>
          <w:rFonts w:ascii="Arial" w:hAnsi="Arial" w:cs="Arial"/>
          <w:szCs w:val="24"/>
        </w:rPr>
        <w:footnoteReference w:id="73"/>
      </w:r>
    </w:p>
    <w:p w14:paraId="70EDD7B2" w14:textId="77777777" w:rsidR="009E087F" w:rsidRDefault="009E087F" w:rsidP="009E087F">
      <w:pPr>
        <w:pStyle w:val="Sangradetextonormal"/>
        <w:spacing w:line="276" w:lineRule="auto"/>
        <w:rPr>
          <w:rFonts w:ascii="Arial" w:hAnsi="Arial" w:cs="Arial"/>
          <w:sz w:val="24"/>
        </w:rPr>
      </w:pPr>
      <w:r>
        <w:rPr>
          <w:rFonts w:ascii="Arial" w:hAnsi="Arial" w:cs="Arial"/>
          <w:sz w:val="24"/>
        </w:rPr>
        <w:t>P</w:t>
      </w:r>
      <w:r w:rsidRPr="00EF2874">
        <w:rPr>
          <w:rFonts w:ascii="Arial" w:hAnsi="Arial" w:cs="Arial"/>
          <w:sz w:val="24"/>
        </w:rPr>
        <w:t xml:space="preserve">or lo anteriormente </w:t>
      </w:r>
      <w:r>
        <w:rPr>
          <w:rFonts w:ascii="Arial" w:hAnsi="Arial" w:cs="Arial"/>
          <w:sz w:val="24"/>
        </w:rPr>
        <w:t>fundado y motivado, a Usted C. Juez de Distrito, respetuosamente;</w:t>
      </w:r>
    </w:p>
    <w:p w14:paraId="35610468" w14:textId="77777777" w:rsidR="00C0302E" w:rsidRPr="0071468B" w:rsidRDefault="00C0302E" w:rsidP="00C0302E">
      <w:pPr>
        <w:pStyle w:val="Sangradetextonormal"/>
        <w:spacing w:line="276" w:lineRule="auto"/>
        <w:jc w:val="center"/>
        <w:rPr>
          <w:rFonts w:ascii="Arial" w:hAnsi="Arial" w:cs="Arial"/>
          <w:b/>
          <w:sz w:val="24"/>
        </w:rPr>
      </w:pPr>
      <w:r w:rsidRPr="0071468B">
        <w:rPr>
          <w:rFonts w:ascii="Arial" w:hAnsi="Arial" w:cs="Arial"/>
          <w:b/>
          <w:sz w:val="24"/>
        </w:rPr>
        <w:t>PIDO:</w:t>
      </w:r>
    </w:p>
    <w:p w14:paraId="65F2C80B" w14:textId="77777777" w:rsidR="00C0302E" w:rsidRPr="00EF2874" w:rsidRDefault="00C0302E" w:rsidP="00C0302E">
      <w:pPr>
        <w:pStyle w:val="Sangradetextonormal"/>
        <w:spacing w:line="276" w:lineRule="auto"/>
        <w:rPr>
          <w:rFonts w:ascii="Arial" w:hAnsi="Arial" w:cs="Arial"/>
          <w:sz w:val="24"/>
        </w:rPr>
      </w:pPr>
      <w:r w:rsidRPr="00EF2874">
        <w:rPr>
          <w:rFonts w:ascii="Arial" w:hAnsi="Arial" w:cs="Arial"/>
          <w:b/>
          <w:bCs/>
          <w:sz w:val="24"/>
        </w:rPr>
        <w:t xml:space="preserve">PRIMERO. - </w:t>
      </w:r>
      <w:r>
        <w:rPr>
          <w:rFonts w:ascii="Arial" w:hAnsi="Arial" w:cs="Arial"/>
          <w:b/>
          <w:bCs/>
          <w:sz w:val="24"/>
        </w:rPr>
        <w:t xml:space="preserve"> </w:t>
      </w:r>
      <w:r w:rsidRPr="00EF2874">
        <w:rPr>
          <w:rFonts w:ascii="Arial" w:hAnsi="Arial" w:cs="Arial"/>
          <w:sz w:val="24"/>
        </w:rPr>
        <w:t xml:space="preserve">Se </w:t>
      </w:r>
      <w:r>
        <w:rPr>
          <w:rFonts w:ascii="Arial" w:hAnsi="Arial" w:cs="Arial"/>
          <w:sz w:val="24"/>
        </w:rPr>
        <w:t xml:space="preserve">nos tenga por nuestro propio derecho presentado </w:t>
      </w:r>
      <w:r w:rsidRPr="0071468B">
        <w:rPr>
          <w:rFonts w:ascii="Arial" w:hAnsi="Arial" w:cs="Arial"/>
          <w:b/>
          <w:sz w:val="24"/>
        </w:rPr>
        <w:t>DEMANDA DE AMPARO Y PROTECCIÓN DE LA JUSTICIA FEDERAL</w:t>
      </w:r>
      <w:r>
        <w:rPr>
          <w:rFonts w:ascii="Arial" w:hAnsi="Arial" w:cs="Arial"/>
          <w:sz w:val="24"/>
        </w:rPr>
        <w:t xml:space="preserve"> en contra de las autoridades señaladas como responsable</w:t>
      </w:r>
      <w:r w:rsidRPr="00EF2874">
        <w:rPr>
          <w:rFonts w:ascii="Arial" w:hAnsi="Arial" w:cs="Arial"/>
          <w:sz w:val="24"/>
        </w:rPr>
        <w:t>.</w:t>
      </w:r>
      <w:r>
        <w:rPr>
          <w:rFonts w:ascii="Arial" w:hAnsi="Arial" w:cs="Arial"/>
          <w:sz w:val="24"/>
        </w:rPr>
        <w:t xml:space="preserve"> Señalando domicilio para recibir notificaciones.</w:t>
      </w:r>
    </w:p>
    <w:p w14:paraId="2DF14C07" w14:textId="77777777" w:rsidR="00C0302E" w:rsidRPr="00EF2874" w:rsidRDefault="00C0302E" w:rsidP="00C0302E">
      <w:pPr>
        <w:pStyle w:val="Sangradetextonormal"/>
        <w:spacing w:line="276" w:lineRule="auto"/>
        <w:rPr>
          <w:rFonts w:ascii="Arial" w:hAnsi="Arial" w:cs="Arial"/>
          <w:sz w:val="24"/>
          <w:highlight w:val="yellow"/>
        </w:rPr>
      </w:pPr>
    </w:p>
    <w:p w14:paraId="1CFE6FF4" w14:textId="571A3BB1" w:rsidR="00C0302E" w:rsidRDefault="009F1D39" w:rsidP="00C0302E">
      <w:pPr>
        <w:pStyle w:val="Sangradetextonormal"/>
        <w:spacing w:line="276" w:lineRule="auto"/>
        <w:rPr>
          <w:rFonts w:ascii="Arial" w:hAnsi="Arial" w:cs="Arial"/>
          <w:b/>
          <w:bCs/>
          <w:sz w:val="24"/>
        </w:rPr>
      </w:pPr>
      <w:r>
        <w:rPr>
          <w:rFonts w:ascii="Arial" w:hAnsi="Arial" w:cs="Arial"/>
          <w:b/>
          <w:bCs/>
          <w:sz w:val="24"/>
        </w:rPr>
        <w:t>SEGUNDO.</w:t>
      </w:r>
      <w:r w:rsidR="00C0302E" w:rsidRPr="00EF2874">
        <w:rPr>
          <w:rFonts w:ascii="Arial" w:hAnsi="Arial" w:cs="Arial"/>
          <w:b/>
          <w:bCs/>
          <w:sz w:val="24"/>
        </w:rPr>
        <w:t xml:space="preserve"> </w:t>
      </w:r>
      <w:r w:rsidR="00C0302E" w:rsidRPr="00CC0E05">
        <w:rPr>
          <w:rFonts w:ascii="Arial" w:hAnsi="Arial" w:cs="Arial"/>
          <w:bCs/>
          <w:sz w:val="24"/>
        </w:rPr>
        <w:t xml:space="preserve">Se </w:t>
      </w:r>
      <w:r w:rsidR="00C0302E">
        <w:rPr>
          <w:rFonts w:ascii="Arial" w:hAnsi="Arial" w:cs="Arial"/>
          <w:bCs/>
          <w:sz w:val="24"/>
        </w:rPr>
        <w:t>le reconozca el carácter de representante común</w:t>
      </w:r>
      <w:r>
        <w:rPr>
          <w:rFonts w:ascii="Arial" w:hAnsi="Arial" w:cs="Arial"/>
          <w:bCs/>
          <w:sz w:val="24"/>
        </w:rPr>
        <w:t xml:space="preserve"> al primero de los </w:t>
      </w:r>
      <w:r w:rsidRPr="009F1D39">
        <w:rPr>
          <w:rFonts w:ascii="Arial" w:hAnsi="Arial" w:cs="Arial"/>
          <w:sz w:val="24"/>
        </w:rPr>
        <w:t xml:space="preserve">quejosos. </w:t>
      </w:r>
    </w:p>
    <w:p w14:paraId="68199B16" w14:textId="77777777" w:rsidR="00C0302E" w:rsidRDefault="00C0302E" w:rsidP="00C0302E">
      <w:pPr>
        <w:pStyle w:val="Sangradetextonormal"/>
        <w:spacing w:line="276" w:lineRule="auto"/>
        <w:rPr>
          <w:rFonts w:ascii="Arial" w:hAnsi="Arial" w:cs="Arial"/>
          <w:b/>
          <w:bCs/>
          <w:sz w:val="24"/>
        </w:rPr>
      </w:pPr>
    </w:p>
    <w:p w14:paraId="395F84B7" w14:textId="337C1BD2" w:rsidR="00C0302E" w:rsidRPr="00EF2874" w:rsidRDefault="00C0302E" w:rsidP="00C0302E">
      <w:pPr>
        <w:pStyle w:val="Sangradetextonormal"/>
        <w:spacing w:line="276" w:lineRule="auto"/>
        <w:rPr>
          <w:rFonts w:ascii="Arial" w:hAnsi="Arial" w:cs="Arial"/>
          <w:sz w:val="24"/>
        </w:rPr>
      </w:pPr>
      <w:r w:rsidRPr="001350CD">
        <w:rPr>
          <w:rFonts w:ascii="Arial" w:hAnsi="Arial" w:cs="Arial"/>
          <w:b/>
          <w:sz w:val="24"/>
        </w:rPr>
        <w:t>TERCERO</w:t>
      </w:r>
      <w:r w:rsidR="009F1D39">
        <w:rPr>
          <w:rFonts w:ascii="Arial" w:hAnsi="Arial" w:cs="Arial"/>
          <w:sz w:val="24"/>
        </w:rPr>
        <w:t>.</w:t>
      </w:r>
      <w:r>
        <w:rPr>
          <w:rFonts w:ascii="Arial" w:hAnsi="Arial" w:cs="Arial"/>
          <w:sz w:val="24"/>
        </w:rPr>
        <w:t xml:space="preserve"> Una vez admitida que sea la demanda, se ordene requerir a las autoridades responsables para los efectos de que rinda el informe que justifique su actuar</w:t>
      </w:r>
      <w:r w:rsidRPr="00EF2874">
        <w:rPr>
          <w:rFonts w:ascii="Arial" w:hAnsi="Arial" w:cs="Arial"/>
          <w:sz w:val="24"/>
        </w:rPr>
        <w:t>.</w:t>
      </w:r>
    </w:p>
    <w:p w14:paraId="207345A3" w14:textId="77777777" w:rsidR="00C0302E" w:rsidRPr="00EF2874" w:rsidRDefault="00C0302E" w:rsidP="00C0302E">
      <w:pPr>
        <w:pStyle w:val="Sangradetextonormal"/>
        <w:spacing w:line="276" w:lineRule="auto"/>
        <w:rPr>
          <w:rFonts w:ascii="Arial" w:hAnsi="Arial" w:cs="Arial"/>
          <w:sz w:val="24"/>
          <w:highlight w:val="yellow"/>
        </w:rPr>
      </w:pPr>
    </w:p>
    <w:p w14:paraId="014339F0" w14:textId="33912C2E" w:rsidR="00C0302E" w:rsidRDefault="00C0302E" w:rsidP="00C0302E">
      <w:pPr>
        <w:spacing w:after="0"/>
        <w:ind w:firstLine="708"/>
        <w:jc w:val="both"/>
        <w:rPr>
          <w:rFonts w:ascii="Arial" w:hAnsi="Arial" w:cs="Arial"/>
          <w:sz w:val="24"/>
          <w:szCs w:val="24"/>
        </w:rPr>
      </w:pPr>
      <w:r>
        <w:rPr>
          <w:rFonts w:ascii="Arial" w:hAnsi="Arial" w:cs="Arial"/>
          <w:b/>
          <w:sz w:val="24"/>
          <w:szCs w:val="24"/>
        </w:rPr>
        <w:t>CUARTO</w:t>
      </w:r>
      <w:r w:rsidR="009F1D39">
        <w:rPr>
          <w:rFonts w:ascii="Arial" w:hAnsi="Arial" w:cs="Arial"/>
          <w:sz w:val="24"/>
          <w:szCs w:val="24"/>
        </w:rPr>
        <w:t xml:space="preserve">. </w:t>
      </w:r>
      <w:r>
        <w:rPr>
          <w:rFonts w:ascii="Arial" w:hAnsi="Arial" w:cs="Arial"/>
          <w:sz w:val="24"/>
          <w:szCs w:val="24"/>
        </w:rPr>
        <w:t>Se nos tenga ofreciendo las pruebas indicadas.</w:t>
      </w:r>
    </w:p>
    <w:p w14:paraId="0B1256C0" w14:textId="77777777" w:rsidR="00C0302E" w:rsidRPr="00EF2874" w:rsidRDefault="00C0302E" w:rsidP="00C0302E">
      <w:pPr>
        <w:spacing w:after="0"/>
        <w:ind w:firstLine="708"/>
        <w:jc w:val="both"/>
        <w:rPr>
          <w:rFonts w:ascii="Arial" w:hAnsi="Arial" w:cs="Arial"/>
          <w:sz w:val="24"/>
          <w:szCs w:val="24"/>
        </w:rPr>
      </w:pPr>
    </w:p>
    <w:p w14:paraId="5996BDD2" w14:textId="6A8AE6CB" w:rsidR="00C0302E" w:rsidRDefault="00C0302E" w:rsidP="00C0302E">
      <w:pPr>
        <w:pStyle w:val="Sangradetextonormal"/>
        <w:spacing w:line="276" w:lineRule="auto"/>
        <w:rPr>
          <w:rFonts w:ascii="Arial" w:hAnsi="Arial" w:cs="Arial"/>
          <w:snapToGrid w:val="0"/>
          <w:sz w:val="24"/>
        </w:rPr>
      </w:pPr>
      <w:r>
        <w:rPr>
          <w:rFonts w:ascii="Arial" w:hAnsi="Arial" w:cs="Arial"/>
          <w:b/>
          <w:snapToGrid w:val="0"/>
          <w:sz w:val="24"/>
        </w:rPr>
        <w:t>QUINTO</w:t>
      </w:r>
      <w:r w:rsidRPr="00EF2874">
        <w:rPr>
          <w:rFonts w:ascii="Arial" w:hAnsi="Arial" w:cs="Arial"/>
          <w:b/>
          <w:snapToGrid w:val="0"/>
          <w:sz w:val="24"/>
        </w:rPr>
        <w:t>.</w:t>
      </w:r>
      <w:r w:rsidRPr="00EF2874">
        <w:rPr>
          <w:rFonts w:ascii="Arial" w:hAnsi="Arial" w:cs="Arial"/>
          <w:snapToGrid w:val="0"/>
          <w:sz w:val="24"/>
        </w:rPr>
        <w:t xml:space="preserve"> </w:t>
      </w:r>
      <w:r>
        <w:rPr>
          <w:rFonts w:ascii="Arial" w:hAnsi="Arial" w:cs="Arial"/>
          <w:snapToGrid w:val="0"/>
          <w:sz w:val="24"/>
        </w:rPr>
        <w:t>Una vez agotado el presente juicio de garantías, se nos conceda la PROTECCIÓN Y AMPARO DE LA JUSTICIA FEDERAL.</w:t>
      </w:r>
    </w:p>
    <w:p w14:paraId="06FCFDDE" w14:textId="77777777" w:rsidR="00C0302E" w:rsidRDefault="00C0302E" w:rsidP="00C0302E">
      <w:pPr>
        <w:pStyle w:val="Sangradetextonormal"/>
        <w:spacing w:line="276" w:lineRule="auto"/>
        <w:rPr>
          <w:rFonts w:ascii="Arial" w:hAnsi="Arial" w:cs="Arial"/>
          <w:snapToGrid w:val="0"/>
          <w:sz w:val="24"/>
        </w:rPr>
      </w:pPr>
    </w:p>
    <w:p w14:paraId="32A3DDE7" w14:textId="77777777" w:rsidR="00C0302E" w:rsidRDefault="00C0302E" w:rsidP="00C0302E">
      <w:pPr>
        <w:pStyle w:val="Sangradetextonormal"/>
        <w:spacing w:line="276" w:lineRule="auto"/>
        <w:rPr>
          <w:rFonts w:ascii="Arial" w:hAnsi="Arial" w:cs="Arial"/>
          <w:sz w:val="24"/>
        </w:rPr>
      </w:pPr>
      <w:r>
        <w:rPr>
          <w:rFonts w:ascii="Arial" w:hAnsi="Arial" w:cs="Arial"/>
          <w:b/>
          <w:snapToGrid w:val="0"/>
          <w:sz w:val="24"/>
        </w:rPr>
        <w:t>SEXTO</w:t>
      </w:r>
      <w:r>
        <w:rPr>
          <w:rFonts w:ascii="Arial" w:hAnsi="Arial" w:cs="Arial"/>
          <w:snapToGrid w:val="0"/>
          <w:sz w:val="24"/>
        </w:rPr>
        <w:t>.- Solicitamos se nos conceda la suspensión, y se nos expida copia certificada del auto que conceda la suspensión provisional solicitada.</w:t>
      </w:r>
      <w:r w:rsidRPr="00EF2874">
        <w:rPr>
          <w:rFonts w:ascii="Arial" w:hAnsi="Arial" w:cs="Arial"/>
          <w:sz w:val="24"/>
        </w:rPr>
        <w:t xml:space="preserve"> </w:t>
      </w:r>
    </w:p>
    <w:p w14:paraId="5384BFDB" w14:textId="77777777" w:rsidR="00C0302E" w:rsidRDefault="00C0302E" w:rsidP="00C0302E">
      <w:pPr>
        <w:pStyle w:val="Sangradetextonormal"/>
        <w:spacing w:line="276" w:lineRule="auto"/>
        <w:rPr>
          <w:rFonts w:ascii="Arial" w:hAnsi="Arial" w:cs="Arial"/>
          <w:sz w:val="24"/>
        </w:rPr>
      </w:pPr>
    </w:p>
    <w:p w14:paraId="26C125B4" w14:textId="77777777" w:rsidR="00C0302E" w:rsidRPr="00EF2874" w:rsidRDefault="00C0302E" w:rsidP="00C0302E">
      <w:pPr>
        <w:pStyle w:val="Ttulo2"/>
        <w:spacing w:line="276" w:lineRule="auto"/>
        <w:rPr>
          <w:rFonts w:ascii="Arial" w:hAnsi="Arial" w:cs="Arial"/>
          <w:b w:val="0"/>
          <w:bCs w:val="0"/>
          <w:sz w:val="24"/>
        </w:rPr>
      </w:pPr>
      <w:r w:rsidRPr="00EF2874">
        <w:rPr>
          <w:rFonts w:ascii="Arial" w:hAnsi="Arial" w:cs="Arial"/>
          <w:sz w:val="24"/>
        </w:rPr>
        <w:t>A  T  E  N  T  A  M  E  N  T  E</w:t>
      </w:r>
    </w:p>
    <w:p w14:paraId="0463B303" w14:textId="77777777" w:rsidR="00346E4D" w:rsidRDefault="00346E4D" w:rsidP="00C0302E">
      <w:pPr>
        <w:pStyle w:val="Sangradetextonormal"/>
        <w:spacing w:line="276" w:lineRule="auto"/>
        <w:ind w:firstLine="0"/>
        <w:jc w:val="center"/>
        <w:rPr>
          <w:rFonts w:ascii="Arial" w:hAnsi="Arial" w:cs="Arial"/>
          <w:sz w:val="24"/>
        </w:rPr>
      </w:pPr>
    </w:p>
    <w:p w14:paraId="5AD02881" w14:textId="681C3AD5" w:rsidR="00C0302E" w:rsidRDefault="00CF3902" w:rsidP="00C0302E">
      <w:pPr>
        <w:pStyle w:val="Sangradetextonormal"/>
        <w:spacing w:line="276" w:lineRule="auto"/>
        <w:ind w:firstLine="0"/>
        <w:jc w:val="center"/>
        <w:rPr>
          <w:rFonts w:ascii="Arial" w:hAnsi="Arial" w:cs="Arial"/>
          <w:sz w:val="24"/>
        </w:rPr>
      </w:pPr>
      <w:r>
        <w:rPr>
          <w:rFonts w:ascii="Arial" w:hAnsi="Arial" w:cs="Arial"/>
          <w:sz w:val="24"/>
        </w:rPr>
        <w:t>_____________________</w:t>
      </w:r>
      <w:r w:rsidR="00346E4D">
        <w:rPr>
          <w:rFonts w:ascii="Arial" w:hAnsi="Arial" w:cs="Arial"/>
          <w:sz w:val="24"/>
        </w:rPr>
        <w:t xml:space="preserve">, </w:t>
      </w:r>
      <w:r>
        <w:rPr>
          <w:rFonts w:ascii="Arial" w:hAnsi="Arial" w:cs="Arial"/>
          <w:sz w:val="24"/>
        </w:rPr>
        <w:t>_____________</w:t>
      </w:r>
      <w:r w:rsidR="00C0302E" w:rsidRPr="00EF2874">
        <w:rPr>
          <w:rFonts w:ascii="Arial" w:hAnsi="Arial" w:cs="Arial"/>
          <w:sz w:val="24"/>
        </w:rPr>
        <w:t>, al día de su presentación.</w:t>
      </w:r>
    </w:p>
    <w:p w14:paraId="738CFC95" w14:textId="60CF7349" w:rsidR="002B111F" w:rsidRPr="00EF2874" w:rsidRDefault="00CF3902" w:rsidP="00CF3902">
      <w:pPr>
        <w:pStyle w:val="Sangradetextonormal"/>
        <w:spacing w:line="276" w:lineRule="auto"/>
        <w:ind w:firstLine="0"/>
        <w:rPr>
          <w:rFonts w:ascii="Arial" w:hAnsi="Arial" w:cs="Arial"/>
          <w:sz w:val="24"/>
        </w:rPr>
      </w:pPr>
      <w:r>
        <w:rPr>
          <w:rFonts w:ascii="Arial" w:hAnsi="Arial" w:cs="Arial"/>
          <w:sz w:val="24"/>
        </w:rPr>
        <w:t xml:space="preserve">                           (Ciudad)                (Entidad federativa)</w:t>
      </w:r>
    </w:p>
    <w:p w14:paraId="7EAECCF4" w14:textId="77777777" w:rsidR="00C0302E" w:rsidRDefault="00C0302E" w:rsidP="00C0302E">
      <w:pPr>
        <w:pStyle w:val="Sangradetextonormal"/>
        <w:spacing w:line="276" w:lineRule="auto"/>
        <w:ind w:firstLine="0"/>
        <w:jc w:val="center"/>
        <w:rPr>
          <w:rFonts w:ascii="Arial" w:hAnsi="Arial" w:cs="Arial"/>
          <w:sz w:val="24"/>
        </w:rPr>
      </w:pPr>
    </w:p>
    <w:p w14:paraId="692B8378" w14:textId="77777777" w:rsidR="00CF3902" w:rsidRDefault="00CF3902" w:rsidP="00C0302E">
      <w:pPr>
        <w:pStyle w:val="Sangradetextonormal"/>
        <w:spacing w:line="276" w:lineRule="auto"/>
        <w:ind w:firstLine="0"/>
        <w:jc w:val="center"/>
        <w:rPr>
          <w:rFonts w:ascii="Arial" w:hAnsi="Arial" w:cs="Arial"/>
          <w:sz w:val="24"/>
        </w:rPr>
      </w:pPr>
    </w:p>
    <w:p w14:paraId="6776D11C" w14:textId="77777777" w:rsidR="00EE25C0" w:rsidRDefault="00EE25C0" w:rsidP="00EE25C0">
      <w:pPr>
        <w:pStyle w:val="Sangradetextonormal"/>
        <w:spacing w:line="276" w:lineRule="auto"/>
        <w:ind w:firstLine="0"/>
        <w:jc w:val="center"/>
        <w:rPr>
          <w:rFonts w:ascii="Arial" w:hAnsi="Arial" w:cs="Arial"/>
          <w:sz w:val="24"/>
        </w:rPr>
      </w:pPr>
    </w:p>
    <w:p w14:paraId="604F43B4" w14:textId="5F480727" w:rsidR="00EE25C0" w:rsidRDefault="00CF3902" w:rsidP="00EE25C0">
      <w:pPr>
        <w:pStyle w:val="Sangradetextonormal"/>
        <w:spacing w:line="276" w:lineRule="auto"/>
        <w:ind w:firstLine="0"/>
        <w:jc w:val="center"/>
        <w:rPr>
          <w:rFonts w:ascii="Arial" w:hAnsi="Arial" w:cs="Arial"/>
          <w:sz w:val="24"/>
        </w:rPr>
      </w:pPr>
      <w:r>
        <w:rPr>
          <w:rFonts w:ascii="Arial" w:hAnsi="Arial" w:cs="Arial"/>
          <w:sz w:val="24"/>
        </w:rPr>
        <w:t>Nombre: _</w:t>
      </w:r>
      <w:r w:rsidR="00EE25C0">
        <w:rPr>
          <w:rFonts w:ascii="Arial" w:hAnsi="Arial" w:cs="Arial"/>
          <w:sz w:val="24"/>
        </w:rPr>
        <w:t>__</w:t>
      </w:r>
      <w:r>
        <w:rPr>
          <w:rFonts w:ascii="Arial" w:hAnsi="Arial" w:cs="Arial"/>
          <w:sz w:val="24"/>
        </w:rPr>
        <w:t>_______</w:t>
      </w:r>
      <w:r w:rsidR="00EE25C0">
        <w:rPr>
          <w:rFonts w:ascii="Arial" w:hAnsi="Arial" w:cs="Arial"/>
          <w:sz w:val="24"/>
        </w:rPr>
        <w:t>___________________________</w:t>
      </w:r>
      <w:r>
        <w:rPr>
          <w:rFonts w:ascii="Arial" w:hAnsi="Arial" w:cs="Arial"/>
          <w:sz w:val="24"/>
        </w:rPr>
        <w:t>Firma:</w:t>
      </w:r>
      <w:r w:rsidR="00EE25C0">
        <w:rPr>
          <w:rFonts w:ascii="Arial" w:hAnsi="Arial" w:cs="Arial"/>
          <w:sz w:val="24"/>
        </w:rPr>
        <w:t>______________</w:t>
      </w:r>
      <w:r>
        <w:rPr>
          <w:rFonts w:ascii="Arial" w:hAnsi="Arial" w:cs="Arial"/>
          <w:sz w:val="24"/>
        </w:rPr>
        <w:t>.</w:t>
      </w:r>
    </w:p>
    <w:p w14:paraId="6BC332FB" w14:textId="1562D2B9" w:rsidR="00580E7A" w:rsidRDefault="00580E7A" w:rsidP="00C0302E">
      <w:pPr>
        <w:pStyle w:val="Sangradetextonormal"/>
        <w:spacing w:line="276" w:lineRule="auto"/>
        <w:ind w:firstLine="0"/>
        <w:jc w:val="center"/>
        <w:rPr>
          <w:rFonts w:ascii="Arial" w:hAnsi="Arial" w:cs="Arial"/>
          <w:sz w:val="24"/>
        </w:rPr>
      </w:pPr>
    </w:p>
    <w:p w14:paraId="455F939F" w14:textId="77777777" w:rsidR="00CF3902" w:rsidRDefault="00CF3902" w:rsidP="00C0302E">
      <w:pPr>
        <w:pStyle w:val="Sangradetextonormal"/>
        <w:spacing w:line="276" w:lineRule="auto"/>
        <w:ind w:firstLine="0"/>
        <w:jc w:val="center"/>
        <w:rPr>
          <w:rFonts w:ascii="Arial" w:hAnsi="Arial" w:cs="Arial"/>
          <w:sz w:val="24"/>
        </w:rPr>
      </w:pPr>
    </w:p>
    <w:p w14:paraId="0B3AB650" w14:textId="5E2A1316" w:rsidR="00EE25C0" w:rsidRDefault="00EE25C0" w:rsidP="00C0302E">
      <w:pPr>
        <w:pStyle w:val="Sangradetextonormal"/>
        <w:spacing w:line="276" w:lineRule="auto"/>
        <w:ind w:firstLine="0"/>
        <w:jc w:val="center"/>
        <w:rPr>
          <w:rFonts w:ascii="Arial" w:hAnsi="Arial" w:cs="Arial"/>
          <w:sz w:val="24"/>
        </w:rPr>
      </w:pPr>
    </w:p>
    <w:p w14:paraId="0F2B106E" w14:textId="711588BE" w:rsidR="00EE25C0" w:rsidRDefault="00CF3902" w:rsidP="00C0302E">
      <w:pPr>
        <w:pStyle w:val="Sangradetextonormal"/>
        <w:spacing w:line="276" w:lineRule="auto"/>
        <w:ind w:firstLine="0"/>
        <w:jc w:val="center"/>
        <w:rPr>
          <w:rFonts w:ascii="Arial" w:hAnsi="Arial" w:cs="Arial"/>
          <w:sz w:val="24"/>
        </w:rPr>
      </w:pPr>
      <w:r>
        <w:rPr>
          <w:rFonts w:ascii="Arial" w:hAnsi="Arial" w:cs="Arial"/>
          <w:sz w:val="24"/>
        </w:rPr>
        <w:t>Nombre</w:t>
      </w:r>
      <w:r>
        <w:rPr>
          <w:rFonts w:ascii="Arial" w:hAnsi="Arial" w:cs="Arial"/>
          <w:sz w:val="24"/>
        </w:rPr>
        <w:t>: _</w:t>
      </w:r>
      <w:r>
        <w:rPr>
          <w:rFonts w:ascii="Arial" w:hAnsi="Arial" w:cs="Arial"/>
          <w:sz w:val="24"/>
        </w:rPr>
        <w:t>____________________________________Firma:______________.</w:t>
      </w:r>
    </w:p>
    <w:p w14:paraId="1733E896" w14:textId="77777777" w:rsidR="00CF3902" w:rsidRDefault="00CF3902" w:rsidP="00C0302E">
      <w:pPr>
        <w:pStyle w:val="Sangradetextonormal"/>
        <w:spacing w:line="276" w:lineRule="auto"/>
        <w:ind w:firstLine="0"/>
        <w:jc w:val="center"/>
        <w:rPr>
          <w:rFonts w:ascii="Arial" w:hAnsi="Arial" w:cs="Arial"/>
          <w:sz w:val="24"/>
        </w:rPr>
      </w:pPr>
    </w:p>
    <w:p w14:paraId="53DE23AD" w14:textId="77777777" w:rsidR="00CF3902" w:rsidRDefault="00CF3902" w:rsidP="00C0302E">
      <w:pPr>
        <w:pStyle w:val="Sangradetextonormal"/>
        <w:spacing w:line="276" w:lineRule="auto"/>
        <w:ind w:firstLine="0"/>
        <w:jc w:val="center"/>
        <w:rPr>
          <w:rFonts w:ascii="Arial" w:hAnsi="Arial" w:cs="Arial"/>
          <w:sz w:val="24"/>
        </w:rPr>
      </w:pPr>
    </w:p>
    <w:p w14:paraId="7EAF0C5B" w14:textId="77777777" w:rsidR="00CF3902" w:rsidRDefault="00CF3902" w:rsidP="00C0302E">
      <w:pPr>
        <w:pStyle w:val="Sangradetextonormal"/>
        <w:spacing w:line="276" w:lineRule="auto"/>
        <w:ind w:firstLine="0"/>
        <w:jc w:val="center"/>
        <w:rPr>
          <w:rFonts w:ascii="Arial" w:hAnsi="Arial" w:cs="Arial"/>
          <w:sz w:val="24"/>
        </w:rPr>
      </w:pPr>
    </w:p>
    <w:p w14:paraId="5262EADB" w14:textId="1B07AB6E" w:rsidR="00CF3902" w:rsidRDefault="00CF3902" w:rsidP="00C0302E">
      <w:pPr>
        <w:pStyle w:val="Sangradetextonormal"/>
        <w:spacing w:line="276" w:lineRule="auto"/>
        <w:ind w:firstLine="0"/>
        <w:jc w:val="center"/>
        <w:rPr>
          <w:rFonts w:ascii="Arial" w:hAnsi="Arial" w:cs="Arial"/>
          <w:sz w:val="24"/>
        </w:rPr>
      </w:pPr>
      <w:r>
        <w:rPr>
          <w:rFonts w:ascii="Arial" w:hAnsi="Arial" w:cs="Arial"/>
          <w:sz w:val="24"/>
        </w:rPr>
        <w:t>Nombre</w:t>
      </w:r>
      <w:r>
        <w:rPr>
          <w:rFonts w:ascii="Arial" w:hAnsi="Arial" w:cs="Arial"/>
          <w:sz w:val="24"/>
        </w:rPr>
        <w:t>: _</w:t>
      </w:r>
      <w:r>
        <w:rPr>
          <w:rFonts w:ascii="Arial" w:hAnsi="Arial" w:cs="Arial"/>
          <w:sz w:val="24"/>
        </w:rPr>
        <w:t>____________________________________Firma:______________.</w:t>
      </w:r>
    </w:p>
    <w:p w14:paraId="3D6E8481" w14:textId="77777777" w:rsidR="00CF3902" w:rsidRDefault="00CF3902" w:rsidP="00C0302E">
      <w:pPr>
        <w:pStyle w:val="Sangradetextonormal"/>
        <w:spacing w:line="276" w:lineRule="auto"/>
        <w:ind w:firstLine="0"/>
        <w:jc w:val="center"/>
        <w:rPr>
          <w:rFonts w:ascii="Arial" w:hAnsi="Arial" w:cs="Arial"/>
          <w:sz w:val="24"/>
        </w:rPr>
      </w:pPr>
    </w:p>
    <w:p w14:paraId="0C0B8362" w14:textId="77777777" w:rsidR="00CF3902" w:rsidRDefault="00CF3902" w:rsidP="00C0302E">
      <w:pPr>
        <w:pStyle w:val="Sangradetextonormal"/>
        <w:spacing w:line="276" w:lineRule="auto"/>
        <w:ind w:firstLine="0"/>
        <w:jc w:val="center"/>
        <w:rPr>
          <w:rFonts w:ascii="Arial" w:hAnsi="Arial" w:cs="Arial"/>
          <w:sz w:val="24"/>
        </w:rPr>
      </w:pPr>
    </w:p>
    <w:p w14:paraId="1C79F7D8" w14:textId="77777777" w:rsidR="00CF3902" w:rsidRDefault="00CF3902" w:rsidP="00C0302E">
      <w:pPr>
        <w:pStyle w:val="Sangradetextonormal"/>
        <w:spacing w:line="276" w:lineRule="auto"/>
        <w:ind w:firstLine="0"/>
        <w:jc w:val="center"/>
        <w:rPr>
          <w:rFonts w:ascii="Arial" w:hAnsi="Arial" w:cs="Arial"/>
          <w:sz w:val="24"/>
        </w:rPr>
      </w:pPr>
    </w:p>
    <w:p w14:paraId="11B70EBE" w14:textId="54D4220F" w:rsidR="00CF3902" w:rsidRDefault="00CF3902" w:rsidP="00C0302E">
      <w:pPr>
        <w:pStyle w:val="Sangradetextonormal"/>
        <w:spacing w:line="276" w:lineRule="auto"/>
        <w:ind w:firstLine="0"/>
        <w:jc w:val="center"/>
        <w:rPr>
          <w:rFonts w:ascii="Arial" w:hAnsi="Arial" w:cs="Arial"/>
          <w:sz w:val="24"/>
        </w:rPr>
      </w:pPr>
      <w:r>
        <w:rPr>
          <w:rFonts w:ascii="Arial" w:hAnsi="Arial" w:cs="Arial"/>
          <w:sz w:val="24"/>
        </w:rPr>
        <w:t>Nombre</w:t>
      </w:r>
      <w:r>
        <w:rPr>
          <w:rFonts w:ascii="Arial" w:hAnsi="Arial" w:cs="Arial"/>
          <w:sz w:val="24"/>
        </w:rPr>
        <w:t>: _</w:t>
      </w:r>
      <w:r>
        <w:rPr>
          <w:rFonts w:ascii="Arial" w:hAnsi="Arial" w:cs="Arial"/>
          <w:sz w:val="24"/>
        </w:rPr>
        <w:t>____________________________________Firma:______________.</w:t>
      </w:r>
    </w:p>
    <w:p w14:paraId="3A87A897" w14:textId="022212D9" w:rsidR="00580E7A" w:rsidRDefault="00580E7A" w:rsidP="00C0302E">
      <w:pPr>
        <w:pStyle w:val="Sangradetextonormal"/>
        <w:spacing w:line="276" w:lineRule="auto"/>
        <w:ind w:firstLine="0"/>
        <w:jc w:val="center"/>
        <w:rPr>
          <w:rFonts w:ascii="Arial" w:hAnsi="Arial" w:cs="Arial"/>
          <w:sz w:val="24"/>
        </w:rPr>
      </w:pPr>
    </w:p>
    <w:sectPr w:rsidR="00580E7A" w:rsidSect="002B111F">
      <w:pgSz w:w="12240" w:h="20160" w:code="5"/>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0F63BA" w14:textId="77777777" w:rsidR="009525CD" w:rsidRDefault="009525CD" w:rsidP="005E4257">
      <w:pPr>
        <w:spacing w:after="0" w:line="240" w:lineRule="auto"/>
      </w:pPr>
      <w:r>
        <w:separator/>
      </w:r>
    </w:p>
  </w:endnote>
  <w:endnote w:type="continuationSeparator" w:id="0">
    <w:p w14:paraId="75F2FF8E" w14:textId="77777777" w:rsidR="009525CD" w:rsidRDefault="009525CD" w:rsidP="005E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Ebrima">
    <w:panose1 w:val="02000000000000000000"/>
    <w:charset w:val="00"/>
    <w:family w:val="auto"/>
    <w:pitch w:val="variable"/>
    <w:sig w:usb0="A000005F" w:usb1="02000041" w:usb2="00000800" w:usb3="00000000" w:csb0="00000093"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DC8DF3" w14:textId="77777777" w:rsidR="009525CD" w:rsidRDefault="009525CD" w:rsidP="005E4257">
      <w:pPr>
        <w:spacing w:after="0" w:line="240" w:lineRule="auto"/>
      </w:pPr>
      <w:r>
        <w:separator/>
      </w:r>
    </w:p>
  </w:footnote>
  <w:footnote w:type="continuationSeparator" w:id="0">
    <w:p w14:paraId="0A57F6C9" w14:textId="77777777" w:rsidR="009525CD" w:rsidRDefault="009525CD" w:rsidP="005E4257">
      <w:pPr>
        <w:spacing w:after="0" w:line="240" w:lineRule="auto"/>
      </w:pPr>
      <w:r>
        <w:continuationSeparator/>
      </w:r>
    </w:p>
  </w:footnote>
  <w:footnote w:id="1">
    <w:p w14:paraId="56C01DF6" w14:textId="6CF24DB2" w:rsidR="00644BE9" w:rsidRDefault="00644BE9" w:rsidP="009B58F5">
      <w:pPr>
        <w:pStyle w:val="Textonotapie"/>
        <w:jc w:val="both"/>
      </w:pPr>
      <w:r w:rsidRPr="00F33CFC">
        <w:rPr>
          <w:rStyle w:val="Refdenotaalpie"/>
          <w:rFonts w:ascii="Arial" w:hAnsi="Arial" w:cs="Arial"/>
        </w:rPr>
        <w:footnoteRef/>
      </w:r>
      <w:r w:rsidRPr="00F33CFC">
        <w:rPr>
          <w:rFonts w:ascii="Arial" w:hAnsi="Arial" w:cs="Arial"/>
        </w:rPr>
        <w:t xml:space="preserve"> </w:t>
      </w:r>
      <w:hyperlink r:id="rId1" w:history="1">
        <w:r w:rsidRPr="00F33CFC">
          <w:rPr>
            <w:rStyle w:val="Hipervnculo"/>
            <w:rFonts w:ascii="Arial" w:hAnsi="Arial" w:cs="Arial"/>
          </w:rPr>
          <w:t>https://frena.com.mx/</w:t>
        </w:r>
      </w:hyperlink>
      <w:r>
        <w:rPr>
          <w:rFonts w:ascii="Arial" w:hAnsi="Arial" w:cs="Arial"/>
        </w:rPr>
        <w:t xml:space="preserve"> </w:t>
      </w:r>
    </w:p>
    <w:p w14:paraId="76BFD41C" w14:textId="77777777" w:rsidR="00644BE9" w:rsidRPr="009B58F5" w:rsidRDefault="00644BE9" w:rsidP="009B58F5">
      <w:pPr>
        <w:pStyle w:val="Textonotapie"/>
        <w:jc w:val="both"/>
        <w:rPr>
          <w:rFonts w:ascii="Arial" w:hAnsi="Arial" w:cs="Arial"/>
        </w:rPr>
      </w:pPr>
    </w:p>
  </w:footnote>
  <w:footnote w:id="2">
    <w:p w14:paraId="3A120006" w14:textId="233F5A96" w:rsidR="00644BE9" w:rsidRDefault="00644BE9" w:rsidP="00A94F22">
      <w:pPr>
        <w:pStyle w:val="Textonotapie"/>
        <w:jc w:val="both"/>
        <w:rPr>
          <w:rFonts w:ascii="Arial" w:hAnsi="Arial" w:cs="Arial"/>
        </w:rPr>
      </w:pPr>
      <w:r>
        <w:rPr>
          <w:rStyle w:val="Refdenotaalpie"/>
        </w:rPr>
        <w:footnoteRef/>
      </w:r>
      <w:r>
        <w:t xml:space="preserve"> </w:t>
      </w:r>
      <w:r w:rsidRPr="009B58F5">
        <w:rPr>
          <w:rFonts w:ascii="Arial" w:hAnsi="Arial" w:cs="Arial"/>
        </w:rPr>
        <w:t xml:space="preserve">El presente amparo lo </w:t>
      </w:r>
      <w:r>
        <w:rPr>
          <w:rFonts w:ascii="Arial" w:hAnsi="Arial" w:cs="Arial"/>
        </w:rPr>
        <w:t>estamos promoviendo</w:t>
      </w:r>
      <w:r w:rsidRPr="009B58F5">
        <w:rPr>
          <w:rFonts w:ascii="Arial" w:hAnsi="Arial" w:cs="Arial"/>
        </w:rPr>
        <w:t xml:space="preserve"> por nuestro propio derecho</w:t>
      </w:r>
      <w:r>
        <w:rPr>
          <w:rFonts w:ascii="Arial" w:hAnsi="Arial" w:cs="Arial"/>
        </w:rPr>
        <w:t xml:space="preserve"> como personas físicas</w:t>
      </w:r>
      <w:r w:rsidRPr="009B58F5">
        <w:rPr>
          <w:rFonts w:ascii="Arial" w:hAnsi="Arial" w:cs="Arial"/>
        </w:rPr>
        <w:t xml:space="preserve">, y no en representación de una </w:t>
      </w:r>
      <w:r>
        <w:rPr>
          <w:rFonts w:ascii="Arial" w:hAnsi="Arial" w:cs="Arial"/>
        </w:rPr>
        <w:t>persona jurídica</w:t>
      </w:r>
      <w:r w:rsidRPr="009B58F5">
        <w:rPr>
          <w:rFonts w:ascii="Arial" w:hAnsi="Arial" w:cs="Arial"/>
        </w:rPr>
        <w:t xml:space="preserve">, toda vez que </w:t>
      </w:r>
      <w:r>
        <w:rPr>
          <w:rFonts w:ascii="Arial" w:hAnsi="Arial" w:cs="Arial"/>
        </w:rPr>
        <w:t xml:space="preserve">los de FRENA </w:t>
      </w:r>
      <w:r w:rsidRPr="009B58F5">
        <w:rPr>
          <w:rFonts w:ascii="Arial" w:hAnsi="Arial" w:cs="Arial"/>
        </w:rPr>
        <w:t>somos un colectivo de facto que ejercemos el derecho de reunión, no somos asociación civil constituida</w:t>
      </w:r>
      <w:r>
        <w:rPr>
          <w:rFonts w:ascii="Arial" w:hAnsi="Arial" w:cs="Arial"/>
        </w:rPr>
        <w:t xml:space="preserve"> mediante una escritura pública</w:t>
      </w:r>
      <w:r w:rsidRPr="009B58F5">
        <w:rPr>
          <w:rFonts w:ascii="Arial" w:hAnsi="Arial" w:cs="Arial"/>
        </w:rPr>
        <w:t>.</w:t>
      </w:r>
    </w:p>
    <w:p w14:paraId="7FDBA065" w14:textId="77777777" w:rsidR="00644BE9" w:rsidRDefault="00644BE9">
      <w:pPr>
        <w:pStyle w:val="Textonotapie"/>
      </w:pPr>
    </w:p>
  </w:footnote>
  <w:footnote w:id="3">
    <w:p w14:paraId="70904761" w14:textId="385244F5" w:rsidR="00644BE9" w:rsidRPr="002046DE" w:rsidRDefault="00644BE9" w:rsidP="00E26809">
      <w:pPr>
        <w:pStyle w:val="Textonotapie"/>
        <w:jc w:val="both"/>
        <w:rPr>
          <w:rFonts w:ascii="Arial" w:hAnsi="Arial" w:cs="Arial"/>
          <w:bCs/>
          <w:i/>
          <w:sz w:val="22"/>
          <w:szCs w:val="26"/>
          <w:shd w:val="clear" w:color="auto" w:fill="FFFFFF"/>
        </w:rPr>
      </w:pPr>
      <w:r w:rsidRPr="00E26809">
        <w:rPr>
          <w:rStyle w:val="Refdenotaalpie"/>
          <w:rFonts w:ascii="Arial" w:hAnsi="Arial" w:cs="Arial"/>
        </w:rPr>
        <w:footnoteRef/>
      </w:r>
      <w:r w:rsidRPr="00E26809">
        <w:rPr>
          <w:rFonts w:ascii="Arial" w:hAnsi="Arial" w:cs="Arial"/>
        </w:rPr>
        <w:t xml:space="preserve"> </w:t>
      </w:r>
      <w:r w:rsidRPr="002046DE">
        <w:rPr>
          <w:rFonts w:ascii="Arial" w:hAnsi="Arial" w:cs="Arial"/>
        </w:rPr>
        <w:t>Cabe señalar que no es nuestro deseo señalar como autoridades responsables al Director del Diario Oficial de la Federación, ni tampoco al Secretario de Gobernación porque no les reclamamos vicios propios del refrendo y publicación, además de que únicamente participaron en el refrendó y publicación de un decreto expedido y promulgado por el presidente, de conformidad con el artículo 108, fracción III, y en la jurisprudencia con registro digital: 180964:</w:t>
      </w:r>
      <w:r w:rsidRPr="002046DE">
        <w:rPr>
          <w:rFonts w:ascii="Arial" w:hAnsi="Arial" w:cs="Arial"/>
          <w:i/>
          <w:sz w:val="16"/>
        </w:rPr>
        <w:t xml:space="preserve"> </w:t>
      </w:r>
      <w:r w:rsidRPr="002046DE">
        <w:rPr>
          <w:rFonts w:ascii="Arial" w:hAnsi="Arial" w:cs="Arial"/>
          <w:i/>
          <w:sz w:val="14"/>
        </w:rPr>
        <w:t>“</w:t>
      </w:r>
      <w:r w:rsidRPr="002046DE">
        <w:rPr>
          <w:rFonts w:ascii="Arial" w:hAnsi="Arial" w:cs="Arial"/>
          <w:b/>
          <w:bCs/>
          <w:i/>
          <w:szCs w:val="26"/>
          <w:shd w:val="clear" w:color="auto" w:fill="FFFFFF"/>
        </w:rPr>
        <w:t>AMPARO CONTRA LEYES. LA OMISIÓN DEL QUEJOSO DE SEÑALAR COMO AUTORIDADES RESPONSABLES AL SECRETARIO DE GOBERNACIÓN Y AL DIRECTOR DEL DIARIO OFICIAL DE LA FEDERACIÓN, NO IMPIDE EXAMINAR LA CONSTITUCIONALIDAD DEL ORDENAMIENTO RECLAMADO”</w:t>
      </w:r>
      <w:r w:rsidRPr="002046DE">
        <w:rPr>
          <w:rFonts w:ascii="Arial" w:hAnsi="Arial" w:cs="Arial"/>
          <w:bCs/>
          <w:i/>
          <w:szCs w:val="26"/>
          <w:shd w:val="clear" w:color="auto" w:fill="FFFFFF"/>
        </w:rPr>
        <w:t>.</w:t>
      </w:r>
    </w:p>
    <w:p w14:paraId="68355697" w14:textId="77777777" w:rsidR="00644BE9" w:rsidRDefault="00644BE9" w:rsidP="00E26809">
      <w:pPr>
        <w:pStyle w:val="Textonotapie"/>
        <w:jc w:val="both"/>
        <w:rPr>
          <w:rFonts w:ascii="Arial" w:hAnsi="Arial" w:cs="Arial"/>
          <w:bCs/>
          <w:i/>
          <w:color w:val="212529"/>
          <w:sz w:val="22"/>
          <w:szCs w:val="26"/>
          <w:shd w:val="clear" w:color="auto" w:fill="FFFFFF"/>
        </w:rPr>
      </w:pPr>
    </w:p>
    <w:p w14:paraId="6147C342" w14:textId="472C3136" w:rsidR="00644BE9" w:rsidRPr="00E26809" w:rsidRDefault="00644BE9" w:rsidP="00E26809">
      <w:pPr>
        <w:pStyle w:val="Textonotapie"/>
        <w:jc w:val="both"/>
        <w:rPr>
          <w:rFonts w:ascii="Arial" w:hAnsi="Arial" w:cs="Arial"/>
        </w:rPr>
      </w:pPr>
    </w:p>
  </w:footnote>
  <w:footnote w:id="4">
    <w:p w14:paraId="44D1BD17" w14:textId="1F30D504" w:rsidR="00644BE9" w:rsidRDefault="00644BE9">
      <w:pPr>
        <w:pStyle w:val="Textonotapie"/>
      </w:pPr>
      <w:r>
        <w:rPr>
          <w:rStyle w:val="Refdenotaalpie"/>
        </w:rPr>
        <w:footnoteRef/>
      </w:r>
      <w:r>
        <w:t xml:space="preserve"> </w:t>
      </w:r>
      <w:hyperlink r:id="rId2" w:anchor="gsc.tab=0" w:history="1">
        <w:r w:rsidRPr="00B20C90">
          <w:rPr>
            <w:rStyle w:val="Hipervnculo"/>
            <w:rFonts w:ascii="Arial" w:hAnsi="Arial" w:cs="Arial"/>
            <w:sz w:val="22"/>
          </w:rPr>
          <w:t>https://dof.gob.mx/nota_detalle.php?codigo=5664065&amp;fecha=09/09/2022#gsc.tab=0</w:t>
        </w:r>
      </w:hyperlink>
    </w:p>
    <w:p w14:paraId="5781EB0A" w14:textId="77777777" w:rsidR="00644BE9" w:rsidRDefault="00644BE9">
      <w:pPr>
        <w:pStyle w:val="Textonotapie"/>
      </w:pPr>
    </w:p>
  </w:footnote>
  <w:footnote w:id="5">
    <w:p w14:paraId="30B8CB29" w14:textId="77777777" w:rsidR="00644BE9" w:rsidRPr="00B63BA7" w:rsidRDefault="00644BE9" w:rsidP="00B63BA7">
      <w:pPr>
        <w:spacing w:after="0"/>
        <w:jc w:val="both"/>
        <w:rPr>
          <w:rFonts w:ascii="Arial" w:hAnsi="Arial" w:cs="Arial"/>
          <w:bCs/>
          <w:sz w:val="20"/>
          <w:szCs w:val="20"/>
        </w:rPr>
      </w:pPr>
      <w:r w:rsidRPr="00B63BA7">
        <w:rPr>
          <w:rStyle w:val="Refdenotaalpie"/>
          <w:rFonts w:ascii="Arial" w:hAnsi="Arial" w:cs="Arial"/>
          <w:sz w:val="20"/>
          <w:szCs w:val="20"/>
        </w:rPr>
        <w:footnoteRef/>
      </w:r>
      <w:r w:rsidRPr="00B63BA7">
        <w:rPr>
          <w:rFonts w:ascii="Arial" w:hAnsi="Arial" w:cs="Arial"/>
          <w:sz w:val="20"/>
          <w:szCs w:val="20"/>
        </w:rPr>
        <w:t xml:space="preserve"> </w:t>
      </w:r>
      <w:hyperlink r:id="rId3" w:history="1">
        <w:r w:rsidRPr="00B63BA7">
          <w:rPr>
            <w:rStyle w:val="Hipervnculo"/>
            <w:rFonts w:ascii="Arial" w:hAnsi="Arial" w:cs="Arial"/>
            <w:bCs/>
            <w:sz w:val="20"/>
            <w:szCs w:val="20"/>
          </w:rPr>
          <w:t>https://frena.com.mx/2022/09/04/frena-llena-el-zocalo-en-gran-marcha-de-la-paz-y-la-unidad/</w:t>
        </w:r>
      </w:hyperlink>
    </w:p>
    <w:p w14:paraId="1EE6F901" w14:textId="6C3E6618" w:rsidR="00644BE9" w:rsidRPr="00B63BA7" w:rsidRDefault="00644BE9" w:rsidP="00B63BA7">
      <w:pPr>
        <w:pStyle w:val="Textonotapie"/>
        <w:rPr>
          <w:rFonts w:ascii="Arial" w:hAnsi="Arial" w:cs="Arial"/>
        </w:rPr>
      </w:pPr>
    </w:p>
  </w:footnote>
  <w:footnote w:id="6">
    <w:p w14:paraId="1AC741F3" w14:textId="77777777" w:rsidR="00644BE9" w:rsidRPr="00B63BA7" w:rsidRDefault="00644BE9" w:rsidP="00B63BA7">
      <w:pPr>
        <w:spacing w:after="0"/>
        <w:jc w:val="both"/>
        <w:rPr>
          <w:rFonts w:ascii="Arial" w:hAnsi="Arial" w:cs="Arial"/>
          <w:bCs/>
          <w:sz w:val="20"/>
          <w:szCs w:val="20"/>
        </w:rPr>
      </w:pPr>
      <w:r w:rsidRPr="00B63BA7">
        <w:rPr>
          <w:rStyle w:val="Refdenotaalpie"/>
          <w:rFonts w:ascii="Arial" w:hAnsi="Arial" w:cs="Arial"/>
          <w:sz w:val="20"/>
          <w:szCs w:val="20"/>
        </w:rPr>
        <w:footnoteRef/>
      </w:r>
      <w:r w:rsidRPr="00B63BA7">
        <w:rPr>
          <w:rFonts w:ascii="Arial" w:hAnsi="Arial" w:cs="Arial"/>
          <w:sz w:val="20"/>
          <w:szCs w:val="20"/>
        </w:rPr>
        <w:t xml:space="preserve"> </w:t>
      </w:r>
      <w:hyperlink r:id="rId4" w:history="1">
        <w:r w:rsidRPr="00B63BA7">
          <w:rPr>
            <w:rStyle w:val="Hipervnculo"/>
            <w:rFonts w:ascii="Arial" w:hAnsi="Arial" w:cs="Arial"/>
            <w:bCs/>
            <w:sz w:val="20"/>
            <w:szCs w:val="20"/>
          </w:rPr>
          <w:t>https://latinus.us/2022/09/03/no-militarizacion-cierran-reforma-marcha-gobierno-amlo/</w:t>
        </w:r>
      </w:hyperlink>
    </w:p>
    <w:p w14:paraId="31CE9B21" w14:textId="5BB71C58" w:rsidR="00644BE9" w:rsidRPr="00B63BA7" w:rsidRDefault="00644BE9">
      <w:pPr>
        <w:pStyle w:val="Textonotapie"/>
        <w:rPr>
          <w:rFonts w:ascii="Arial" w:hAnsi="Arial" w:cs="Arial"/>
        </w:rPr>
      </w:pPr>
    </w:p>
  </w:footnote>
  <w:footnote w:id="7">
    <w:p w14:paraId="78040592" w14:textId="4AC17869" w:rsidR="00644BE9" w:rsidRDefault="00644BE9">
      <w:pPr>
        <w:pStyle w:val="Textonotapie"/>
      </w:pPr>
      <w:r w:rsidRPr="00B63BA7">
        <w:rPr>
          <w:rStyle w:val="Refdenotaalpie"/>
          <w:rFonts w:ascii="Arial" w:hAnsi="Arial" w:cs="Arial"/>
        </w:rPr>
        <w:footnoteRef/>
      </w:r>
      <w:r w:rsidRPr="00B63BA7">
        <w:rPr>
          <w:rFonts w:ascii="Arial" w:hAnsi="Arial" w:cs="Arial"/>
        </w:rPr>
        <w:t xml:space="preserve"> Del libro</w:t>
      </w:r>
      <w:r>
        <w:rPr>
          <w:rFonts w:ascii="Arial" w:hAnsi="Arial" w:cs="Arial"/>
        </w:rPr>
        <w:t>:</w:t>
      </w:r>
      <w:r w:rsidRPr="00B63BA7">
        <w:rPr>
          <w:rFonts w:ascii="Arial" w:hAnsi="Arial" w:cs="Arial"/>
        </w:rPr>
        <w:t xml:space="preserve"> </w:t>
      </w:r>
      <w:r>
        <w:rPr>
          <w:rFonts w:ascii="Arial" w:hAnsi="Arial" w:cs="Arial"/>
        </w:rPr>
        <w:t>“</w:t>
      </w:r>
      <w:r w:rsidRPr="00B63BA7">
        <w:rPr>
          <w:rFonts w:ascii="Arial" w:hAnsi="Arial" w:cs="Arial"/>
          <w:i/>
        </w:rPr>
        <w:t>Protesta y Derechos Humanos</w:t>
      </w:r>
      <w:r>
        <w:rPr>
          <w:rFonts w:ascii="Arial" w:hAnsi="Arial" w:cs="Arial"/>
        </w:rPr>
        <w:t xml:space="preserve">, </w:t>
      </w:r>
      <w:r w:rsidRPr="00B63BA7">
        <w:rPr>
          <w:rFonts w:ascii="Arial" w:hAnsi="Arial" w:cs="Arial"/>
          <w:i/>
        </w:rPr>
        <w:t>Estándares sobre los derechos involucrados en la protesta social y las obligaciones que deben guiar la respuesta estatal</w:t>
      </w:r>
      <w:r>
        <w:rPr>
          <w:rFonts w:ascii="Arial" w:hAnsi="Arial" w:cs="Arial"/>
        </w:rPr>
        <w:t>.</w:t>
      </w:r>
      <w:r w:rsidRPr="00B63BA7">
        <w:rPr>
          <w:rFonts w:ascii="Arial" w:hAnsi="Arial" w:cs="Arial"/>
        </w:rPr>
        <w:t>(2019)</w:t>
      </w:r>
      <w:r>
        <w:rPr>
          <w:rFonts w:ascii="Arial" w:hAnsi="Arial" w:cs="Arial"/>
        </w:rPr>
        <w:t>.Escrito por</w:t>
      </w:r>
      <w:r w:rsidRPr="00B63BA7">
        <w:rPr>
          <w:rFonts w:ascii="Arial" w:hAnsi="Arial" w:cs="Arial"/>
        </w:rPr>
        <w:t xml:space="preserve"> la Relatoría Especial para la Libertad de Expresión y la Comisión Interamericana de Derechos Humanos.</w:t>
      </w:r>
      <w:r>
        <w:t xml:space="preserve"> </w:t>
      </w:r>
    </w:p>
    <w:p w14:paraId="66926697" w14:textId="77777777" w:rsidR="00644BE9" w:rsidRDefault="00644BE9">
      <w:pPr>
        <w:pStyle w:val="Textonotapie"/>
      </w:pPr>
    </w:p>
  </w:footnote>
  <w:footnote w:id="8">
    <w:p w14:paraId="555788C3" w14:textId="77777777" w:rsidR="00644BE9" w:rsidRDefault="00644BE9" w:rsidP="00810E13">
      <w:pPr>
        <w:pStyle w:val="Textonotapie"/>
        <w:rPr>
          <w:rFonts w:ascii="Arial" w:hAnsi="Arial" w:cs="Arial"/>
        </w:rPr>
      </w:pPr>
      <w:r>
        <w:rPr>
          <w:rStyle w:val="Refdenotaalpie"/>
        </w:rPr>
        <w:footnoteRef/>
      </w:r>
      <w:r>
        <w:t xml:space="preserve"> </w:t>
      </w:r>
      <w:r w:rsidRPr="00E54B31">
        <w:rPr>
          <w:rFonts w:ascii="Arial" w:hAnsi="Arial" w:cs="Arial"/>
        </w:rPr>
        <w:t xml:space="preserve">Ribeiro </w:t>
      </w:r>
      <w:proofErr w:type="spellStart"/>
      <w:r w:rsidRPr="00E54B31">
        <w:rPr>
          <w:rFonts w:ascii="Arial" w:hAnsi="Arial" w:cs="Arial"/>
        </w:rPr>
        <w:t>Leão</w:t>
      </w:r>
      <w:proofErr w:type="spellEnd"/>
      <w:r>
        <w:rPr>
          <w:rFonts w:ascii="Arial" w:hAnsi="Arial" w:cs="Arial"/>
        </w:rPr>
        <w:t xml:space="preserve">, </w:t>
      </w:r>
      <w:r w:rsidRPr="00E54B31">
        <w:rPr>
          <w:rFonts w:ascii="Arial" w:hAnsi="Arial" w:cs="Arial"/>
        </w:rPr>
        <w:t xml:space="preserve">Renato </w:t>
      </w:r>
      <w:proofErr w:type="spellStart"/>
      <w:r w:rsidRPr="00E54B31">
        <w:rPr>
          <w:rFonts w:ascii="Arial" w:hAnsi="Arial" w:cs="Arial"/>
        </w:rPr>
        <w:t>Zerbini</w:t>
      </w:r>
      <w:proofErr w:type="spellEnd"/>
      <w:r>
        <w:rPr>
          <w:rFonts w:ascii="Arial" w:hAnsi="Arial" w:cs="Arial"/>
        </w:rPr>
        <w:t>.</w:t>
      </w:r>
      <w:r w:rsidRPr="00E54B31">
        <w:rPr>
          <w:rFonts w:ascii="Arial" w:hAnsi="Arial" w:cs="Arial"/>
        </w:rPr>
        <w:t xml:space="preserve"> </w:t>
      </w:r>
      <w:r>
        <w:rPr>
          <w:rFonts w:ascii="Arial" w:hAnsi="Arial" w:cs="Arial"/>
        </w:rPr>
        <w:t xml:space="preserve">2010. </w:t>
      </w:r>
      <w:r w:rsidRPr="00E54B31">
        <w:rPr>
          <w:rFonts w:ascii="Arial" w:hAnsi="Arial" w:cs="Arial"/>
        </w:rPr>
        <w:t>El rol de la sociedad civil organizada para el fortalecimiento de la protección de los derechos humanos en el siglo XXI: un enfoque especial sobre los DESC</w:t>
      </w:r>
      <w:r>
        <w:rPr>
          <w:rFonts w:ascii="Arial" w:hAnsi="Arial" w:cs="Arial"/>
        </w:rPr>
        <w:t>.</w:t>
      </w:r>
      <w:r w:rsidRPr="00E54B31">
        <w:rPr>
          <w:rFonts w:ascii="Arial" w:hAnsi="Arial" w:cs="Arial"/>
        </w:rPr>
        <w:t xml:space="preserve"> Revista </w:t>
      </w:r>
      <w:r>
        <w:rPr>
          <w:rFonts w:ascii="Arial" w:hAnsi="Arial" w:cs="Arial"/>
        </w:rPr>
        <w:t>del Instituto Interamericano de Derechos Humanos</w:t>
      </w:r>
      <w:r w:rsidRPr="00E54B31">
        <w:rPr>
          <w:rFonts w:ascii="Arial" w:hAnsi="Arial" w:cs="Arial"/>
        </w:rPr>
        <w:t>. Vol. 51</w:t>
      </w:r>
      <w:r>
        <w:rPr>
          <w:rFonts w:ascii="Arial" w:hAnsi="Arial" w:cs="Arial"/>
        </w:rPr>
        <w:t>. Pp. 250 y 271.</w:t>
      </w:r>
      <w:r w:rsidRPr="00E54B31">
        <w:rPr>
          <w:rFonts w:ascii="Arial" w:hAnsi="Arial" w:cs="Arial"/>
        </w:rPr>
        <w:t xml:space="preserve"> Recuperado en URL: </w:t>
      </w:r>
      <w:hyperlink r:id="rId5" w:history="1">
        <w:r w:rsidRPr="00735256">
          <w:rPr>
            <w:rStyle w:val="Hipervnculo"/>
            <w:rFonts w:ascii="Arial" w:hAnsi="Arial" w:cs="Arial"/>
          </w:rPr>
          <w:t>https://www.iidh.ed.cr/IIDH/media/1632/revista-iidh51.pdf</w:t>
        </w:r>
      </w:hyperlink>
    </w:p>
    <w:p w14:paraId="1A2693C9" w14:textId="77777777" w:rsidR="00644BE9" w:rsidRPr="00E54B31" w:rsidRDefault="00644BE9" w:rsidP="00810E13">
      <w:pPr>
        <w:pStyle w:val="Textonotapie"/>
        <w:rPr>
          <w:rFonts w:ascii="Arial" w:hAnsi="Arial" w:cs="Arial"/>
        </w:rPr>
      </w:pPr>
    </w:p>
    <w:p w14:paraId="55003706" w14:textId="77777777" w:rsidR="00644BE9" w:rsidRDefault="00644BE9" w:rsidP="00810E13">
      <w:pPr>
        <w:pStyle w:val="Textonotapie"/>
      </w:pPr>
    </w:p>
  </w:footnote>
  <w:footnote w:id="9">
    <w:p w14:paraId="06F2F99D" w14:textId="03FE3A95" w:rsidR="00644BE9" w:rsidRPr="004E13B9" w:rsidRDefault="00644BE9" w:rsidP="004E13B9">
      <w:pPr>
        <w:pStyle w:val="Sangradetextonormal"/>
        <w:ind w:firstLine="567"/>
        <w:rPr>
          <w:rFonts w:ascii="Arial" w:hAnsi="Arial" w:cs="Arial"/>
          <w:sz w:val="22"/>
        </w:rPr>
      </w:pPr>
      <w:r w:rsidRPr="004E13B9">
        <w:rPr>
          <w:rStyle w:val="Refdenotaalpie"/>
          <w:sz w:val="24"/>
        </w:rPr>
        <w:footnoteRef/>
      </w:r>
      <w:r w:rsidRPr="004E13B9">
        <w:rPr>
          <w:sz w:val="24"/>
        </w:rPr>
        <w:t xml:space="preserve"> </w:t>
      </w:r>
      <w:r w:rsidRPr="004E13B9">
        <w:rPr>
          <w:rFonts w:ascii="Arial" w:hAnsi="Arial" w:cs="Arial"/>
          <w:sz w:val="22"/>
        </w:rPr>
        <w:t xml:space="preserve">Registro digital: 193923, Instancia: Segunda Sala, Novena Época, Materias(s): Común, Tesis: 2a. LXI/99, Fuente: Semanario Judicial de la Federación y su Gaceta. Tomo IX, </w:t>
      </w:r>
      <w:proofErr w:type="gramStart"/>
      <w:r w:rsidRPr="004E13B9">
        <w:rPr>
          <w:rFonts w:ascii="Arial" w:hAnsi="Arial" w:cs="Arial"/>
          <w:sz w:val="22"/>
        </w:rPr>
        <w:t>Mayo</w:t>
      </w:r>
      <w:proofErr w:type="gramEnd"/>
      <w:r w:rsidRPr="004E13B9">
        <w:rPr>
          <w:rFonts w:ascii="Arial" w:hAnsi="Arial" w:cs="Arial"/>
          <w:sz w:val="22"/>
        </w:rPr>
        <w:t xml:space="preserve"> de 1999, página 506, Tipo: Aislada</w:t>
      </w:r>
      <w:r>
        <w:rPr>
          <w:rFonts w:ascii="Arial" w:hAnsi="Arial" w:cs="Arial"/>
          <w:sz w:val="22"/>
        </w:rPr>
        <w:t>.</w:t>
      </w:r>
    </w:p>
    <w:p w14:paraId="0F617638" w14:textId="2467BC07" w:rsidR="00644BE9" w:rsidRDefault="00644BE9">
      <w:pPr>
        <w:pStyle w:val="Textonotapie"/>
      </w:pPr>
    </w:p>
  </w:footnote>
  <w:footnote w:id="10">
    <w:p w14:paraId="04643830" w14:textId="5A2389E7" w:rsidR="00644BE9" w:rsidRPr="00CB442D" w:rsidRDefault="00644BE9" w:rsidP="00CB442D">
      <w:pPr>
        <w:pStyle w:val="Sangradetextonormal"/>
        <w:ind w:firstLine="567"/>
        <w:rPr>
          <w:rFonts w:ascii="Arial" w:hAnsi="Arial" w:cs="Arial"/>
          <w:i/>
          <w:sz w:val="24"/>
        </w:rPr>
      </w:pPr>
      <w:r>
        <w:rPr>
          <w:rStyle w:val="Refdenotaalpie"/>
        </w:rPr>
        <w:footnoteRef/>
      </w:r>
      <w:r>
        <w:t xml:space="preserve"> </w:t>
      </w:r>
      <w:r w:rsidRPr="00CC0DD7">
        <w:rPr>
          <w:rFonts w:ascii="Arial" w:hAnsi="Arial" w:cs="Arial"/>
          <w:sz w:val="20"/>
        </w:rPr>
        <w:t>Suprema Corte de Justicia de la Nación, Registro digital: 258167, Instancia: Pleno, Sexta Época, Materias(s): Común, Fuente: Semanario Judicial de la Federación. Volumen XLVII, Primera Parte, página 49, Tipo: Aislada.</w:t>
      </w:r>
    </w:p>
    <w:p w14:paraId="2B9E1BFB" w14:textId="12EF219A" w:rsidR="00644BE9" w:rsidRDefault="00644BE9">
      <w:pPr>
        <w:pStyle w:val="Textonotapie"/>
      </w:pPr>
    </w:p>
  </w:footnote>
  <w:footnote w:id="11">
    <w:p w14:paraId="5678E8C8" w14:textId="2B520DEB" w:rsidR="00644BE9" w:rsidRDefault="00644BE9">
      <w:pPr>
        <w:pStyle w:val="Textonotapie"/>
      </w:pPr>
      <w:r>
        <w:rPr>
          <w:rStyle w:val="Refdenotaalpie"/>
        </w:rPr>
        <w:footnoteRef/>
      </w:r>
      <w:r>
        <w:t xml:space="preserve"> </w:t>
      </w:r>
      <w:hyperlink r:id="rId6" w:history="1">
        <w:r w:rsidRPr="007A3903">
          <w:rPr>
            <w:rStyle w:val="Hipervnculo"/>
          </w:rPr>
          <w:t>https://www.elheraldodechihuahua.com.mx/local/chihuahua/cronologia-del-homicidio-de-jessi-silva-que-paso-el-8-de-septiembre-del-2020-8863840.html</w:t>
        </w:r>
      </w:hyperlink>
    </w:p>
    <w:p w14:paraId="5ED15CB5" w14:textId="77777777" w:rsidR="00644BE9" w:rsidRDefault="00644BE9">
      <w:pPr>
        <w:pStyle w:val="Textonotapie"/>
      </w:pPr>
    </w:p>
  </w:footnote>
  <w:footnote w:id="12">
    <w:p w14:paraId="50784989" w14:textId="648E19CA" w:rsidR="00644BE9" w:rsidRDefault="00644BE9">
      <w:pPr>
        <w:pStyle w:val="Textonotapie"/>
      </w:pPr>
      <w:r>
        <w:rPr>
          <w:rStyle w:val="Refdenotaalpie"/>
        </w:rPr>
        <w:footnoteRef/>
      </w:r>
      <w:r>
        <w:t xml:space="preserve"> </w:t>
      </w:r>
      <w:hyperlink r:id="rId7" w:history="1">
        <w:r w:rsidRPr="007A3903">
          <w:rPr>
            <w:rStyle w:val="Hipervnculo"/>
          </w:rPr>
          <w:t>https://politica.expansion.mx/mexico/2022/04/29/quien-es-angel-yael-asesinado-guardia-nacional</w:t>
        </w:r>
      </w:hyperlink>
    </w:p>
    <w:p w14:paraId="069922F8" w14:textId="77777777" w:rsidR="00644BE9" w:rsidRDefault="00644BE9">
      <w:pPr>
        <w:pStyle w:val="Textonotapie"/>
      </w:pPr>
    </w:p>
  </w:footnote>
  <w:footnote w:id="13">
    <w:p w14:paraId="4D09A127" w14:textId="595C4632" w:rsidR="00644BE9" w:rsidRPr="005F5411" w:rsidRDefault="00644BE9" w:rsidP="005F5411">
      <w:pPr>
        <w:pStyle w:val="Textonotapie"/>
        <w:jc w:val="both"/>
        <w:rPr>
          <w:rFonts w:ascii="Arial" w:hAnsi="Arial" w:cs="Arial"/>
        </w:rPr>
      </w:pPr>
      <w:r w:rsidRPr="005F5411">
        <w:rPr>
          <w:rStyle w:val="Refdenotaalpie"/>
          <w:rFonts w:ascii="Arial" w:hAnsi="Arial" w:cs="Arial"/>
        </w:rPr>
        <w:footnoteRef/>
      </w:r>
      <w:r w:rsidRPr="005F5411">
        <w:rPr>
          <w:rFonts w:ascii="Arial" w:hAnsi="Arial" w:cs="Arial"/>
        </w:rPr>
        <w:t xml:space="preserve"> </w:t>
      </w:r>
      <w:hyperlink r:id="rId8" w:history="1">
        <w:r w:rsidRPr="005F5411">
          <w:rPr>
            <w:rStyle w:val="Hipervnculo"/>
            <w:rFonts w:ascii="Arial" w:hAnsi="Arial" w:cs="Arial"/>
          </w:rPr>
          <w:t>https://www.vozdeamerica.com/a/mexico-guardia-nacional-involucrada-en-muerte-de-migrante-cubano/6296321.html</w:t>
        </w:r>
      </w:hyperlink>
    </w:p>
    <w:p w14:paraId="1D67F8C4" w14:textId="77777777" w:rsidR="00644BE9" w:rsidRDefault="00644BE9">
      <w:pPr>
        <w:pStyle w:val="Textonotapie"/>
      </w:pPr>
    </w:p>
  </w:footnote>
  <w:footnote w:id="14">
    <w:p w14:paraId="3099D4F6" w14:textId="57754DD8" w:rsidR="00644BE9" w:rsidRPr="002F5D0D" w:rsidRDefault="00644BE9" w:rsidP="004B5B9A">
      <w:pPr>
        <w:pStyle w:val="Sangradetextonormal"/>
        <w:rPr>
          <w:rFonts w:ascii="Arial" w:hAnsi="Arial" w:cs="Arial"/>
          <w:sz w:val="20"/>
          <w:szCs w:val="20"/>
        </w:rPr>
      </w:pPr>
      <w:r>
        <w:rPr>
          <w:rStyle w:val="Refdenotaalpie"/>
        </w:rPr>
        <w:footnoteRef/>
      </w:r>
      <w:r>
        <w:t xml:space="preserve"> </w:t>
      </w:r>
      <w:r w:rsidRPr="00222A47">
        <w:rPr>
          <w:rFonts w:ascii="Arial" w:hAnsi="Arial" w:cs="Arial"/>
          <w:sz w:val="18"/>
          <w:szCs w:val="18"/>
        </w:rPr>
        <w:t>Época: Novena Época, Registro: 160510, Instancia: Pleno, Tipo de Tesis: Aislada, Fuente: Semanario Judicial de la Federación y su Gaceta, Libro III, Diciembre de 2011, Tomo 1, Materia(s): Común, Administrativa, Tesis: P. LXIV/2011 (9a.), Página: 553.</w:t>
      </w:r>
    </w:p>
    <w:p w14:paraId="1FF06A59" w14:textId="188BA7BA" w:rsidR="00644BE9" w:rsidRDefault="00644BE9">
      <w:pPr>
        <w:pStyle w:val="Textonotapie"/>
      </w:pPr>
    </w:p>
  </w:footnote>
  <w:footnote w:id="15">
    <w:p w14:paraId="77830229" w14:textId="48F3A64E" w:rsidR="00644BE9" w:rsidRDefault="00644BE9" w:rsidP="00A54D36">
      <w:pPr>
        <w:pStyle w:val="Sinespaciado"/>
        <w:ind w:firstLine="709"/>
        <w:jc w:val="both"/>
        <w:rPr>
          <w:rFonts w:ascii="Arial" w:hAnsi="Arial" w:cs="Arial"/>
          <w:sz w:val="18"/>
          <w:szCs w:val="18"/>
        </w:rPr>
      </w:pPr>
      <w:r w:rsidRPr="00317FCD">
        <w:rPr>
          <w:rStyle w:val="Refdenotaalpie"/>
          <w:rFonts w:ascii="Arial" w:hAnsi="Arial" w:cs="Arial"/>
          <w:sz w:val="16"/>
          <w:szCs w:val="16"/>
        </w:rPr>
        <w:footnoteRef/>
      </w:r>
      <w:r w:rsidRPr="00317FCD">
        <w:rPr>
          <w:rFonts w:ascii="Arial" w:hAnsi="Arial" w:cs="Arial"/>
          <w:sz w:val="16"/>
          <w:szCs w:val="16"/>
        </w:rPr>
        <w:t xml:space="preserve"> </w:t>
      </w:r>
      <w:r w:rsidRPr="00222A47">
        <w:rPr>
          <w:rFonts w:ascii="Arial" w:hAnsi="Arial" w:cs="Arial"/>
          <w:sz w:val="18"/>
          <w:szCs w:val="18"/>
          <w:lang w:val="pt-BR"/>
        </w:rPr>
        <w:t xml:space="preserve">No. Registro: 174,752. </w:t>
      </w:r>
      <w:proofErr w:type="spellStart"/>
      <w:r w:rsidRPr="00222A47">
        <w:rPr>
          <w:rFonts w:ascii="Arial" w:hAnsi="Arial" w:cs="Arial"/>
          <w:sz w:val="18"/>
          <w:szCs w:val="18"/>
          <w:lang w:val="pt-BR"/>
        </w:rPr>
        <w:t>Jurisprudencia</w:t>
      </w:r>
      <w:proofErr w:type="spellEnd"/>
      <w:r w:rsidRPr="00222A47">
        <w:rPr>
          <w:rFonts w:ascii="Arial" w:hAnsi="Arial" w:cs="Arial"/>
          <w:sz w:val="18"/>
          <w:szCs w:val="18"/>
          <w:lang w:val="pt-BR"/>
        </w:rPr>
        <w:t xml:space="preserve">. </w:t>
      </w:r>
      <w:proofErr w:type="spellStart"/>
      <w:r w:rsidRPr="00222A47">
        <w:rPr>
          <w:rFonts w:ascii="Arial" w:hAnsi="Arial" w:cs="Arial"/>
          <w:sz w:val="18"/>
          <w:szCs w:val="18"/>
          <w:lang w:val="pt-BR"/>
        </w:rPr>
        <w:t>Materia</w:t>
      </w:r>
      <w:proofErr w:type="spellEnd"/>
      <w:r w:rsidRPr="00222A47">
        <w:rPr>
          <w:rFonts w:ascii="Arial" w:hAnsi="Arial" w:cs="Arial"/>
          <w:sz w:val="18"/>
          <w:szCs w:val="18"/>
          <w:lang w:val="pt-BR"/>
        </w:rPr>
        <w:t xml:space="preserve">(s): Administrativa. Novena Época. Instancia: Pleno. </w:t>
      </w:r>
      <w:r w:rsidRPr="00222A47">
        <w:rPr>
          <w:rFonts w:ascii="Arial" w:hAnsi="Arial" w:cs="Arial"/>
          <w:sz w:val="18"/>
          <w:szCs w:val="18"/>
        </w:rPr>
        <w:t xml:space="preserve">Fuente: Semanario Judicial de la Federación y su Gaceta. XXIV, </w:t>
      </w:r>
      <w:proofErr w:type="gramStart"/>
      <w:r w:rsidRPr="00222A47">
        <w:rPr>
          <w:rFonts w:ascii="Arial" w:hAnsi="Arial" w:cs="Arial"/>
          <w:sz w:val="18"/>
          <w:szCs w:val="18"/>
        </w:rPr>
        <w:t>Julio</w:t>
      </w:r>
      <w:proofErr w:type="gramEnd"/>
      <w:r w:rsidRPr="00222A47">
        <w:rPr>
          <w:rFonts w:ascii="Arial" w:hAnsi="Arial" w:cs="Arial"/>
          <w:sz w:val="18"/>
          <w:szCs w:val="18"/>
        </w:rPr>
        <w:t xml:space="preserve"> de 2006. Tesis: P</w:t>
      </w:r>
      <w:proofErr w:type="gramStart"/>
      <w:r w:rsidRPr="00222A47">
        <w:rPr>
          <w:rFonts w:ascii="Arial" w:hAnsi="Arial" w:cs="Arial"/>
          <w:sz w:val="18"/>
          <w:szCs w:val="18"/>
        </w:rPr>
        <w:t>./</w:t>
      </w:r>
      <w:proofErr w:type="gramEnd"/>
      <w:r w:rsidRPr="00222A47">
        <w:rPr>
          <w:rFonts w:ascii="Arial" w:hAnsi="Arial" w:cs="Arial"/>
          <w:sz w:val="18"/>
          <w:szCs w:val="18"/>
        </w:rPr>
        <w:t>J. 90/2006. Página: 6.</w:t>
      </w:r>
    </w:p>
    <w:p w14:paraId="463FCE0F" w14:textId="77777777" w:rsidR="00644BE9" w:rsidRPr="00222A47" w:rsidRDefault="00644BE9" w:rsidP="00A54D36">
      <w:pPr>
        <w:pStyle w:val="Sinespaciado"/>
        <w:ind w:firstLine="709"/>
        <w:jc w:val="both"/>
        <w:rPr>
          <w:rFonts w:ascii="Arial" w:hAnsi="Arial" w:cs="Arial"/>
          <w:sz w:val="18"/>
          <w:szCs w:val="18"/>
        </w:rPr>
      </w:pPr>
    </w:p>
  </w:footnote>
  <w:footnote w:id="16">
    <w:p w14:paraId="596CC22E" w14:textId="2228511C" w:rsidR="00644BE9" w:rsidRDefault="00644BE9" w:rsidP="00A54D36">
      <w:pPr>
        <w:pStyle w:val="Textonotapie"/>
        <w:ind w:firstLine="709"/>
        <w:jc w:val="both"/>
        <w:rPr>
          <w:rFonts w:ascii="Arial" w:hAnsi="Arial" w:cs="Arial"/>
          <w:sz w:val="18"/>
          <w:szCs w:val="18"/>
        </w:rPr>
      </w:pPr>
      <w:r w:rsidRPr="00222A47">
        <w:rPr>
          <w:rStyle w:val="Refdenotaalpie"/>
          <w:rFonts w:ascii="Arial" w:hAnsi="Arial" w:cs="Arial"/>
          <w:sz w:val="18"/>
          <w:szCs w:val="18"/>
        </w:rPr>
        <w:footnoteRef/>
      </w:r>
      <w:r w:rsidRPr="00222A47">
        <w:rPr>
          <w:rFonts w:ascii="Arial" w:hAnsi="Arial" w:cs="Arial"/>
          <w:sz w:val="18"/>
          <w:szCs w:val="18"/>
        </w:rPr>
        <w:t xml:space="preserve"> </w:t>
      </w:r>
      <w:r w:rsidRPr="00222A47">
        <w:rPr>
          <w:rFonts w:ascii="Arial" w:hAnsi="Arial" w:cs="Arial"/>
          <w:sz w:val="18"/>
          <w:szCs w:val="18"/>
          <w:lang w:val="pt-BR"/>
        </w:rPr>
        <w:t xml:space="preserve">No. Registro: 192,903. </w:t>
      </w:r>
      <w:proofErr w:type="spellStart"/>
      <w:r w:rsidRPr="00222A47">
        <w:rPr>
          <w:rFonts w:ascii="Arial" w:hAnsi="Arial" w:cs="Arial"/>
          <w:sz w:val="18"/>
          <w:szCs w:val="18"/>
          <w:lang w:val="pt-BR"/>
        </w:rPr>
        <w:t>Jurisprudencia</w:t>
      </w:r>
      <w:proofErr w:type="spellEnd"/>
      <w:r w:rsidRPr="00222A47">
        <w:rPr>
          <w:rFonts w:ascii="Arial" w:hAnsi="Arial" w:cs="Arial"/>
          <w:sz w:val="18"/>
          <w:szCs w:val="18"/>
          <w:lang w:val="pt-BR"/>
        </w:rPr>
        <w:t xml:space="preserve">. </w:t>
      </w:r>
      <w:proofErr w:type="spellStart"/>
      <w:r w:rsidRPr="00222A47">
        <w:rPr>
          <w:rFonts w:ascii="Arial" w:hAnsi="Arial" w:cs="Arial"/>
          <w:sz w:val="18"/>
          <w:szCs w:val="18"/>
          <w:lang w:val="pt-BR"/>
        </w:rPr>
        <w:t>Materia</w:t>
      </w:r>
      <w:proofErr w:type="spellEnd"/>
      <w:r w:rsidRPr="00222A47">
        <w:rPr>
          <w:rFonts w:ascii="Arial" w:hAnsi="Arial" w:cs="Arial"/>
          <w:sz w:val="18"/>
          <w:szCs w:val="18"/>
          <w:lang w:val="pt-BR"/>
        </w:rPr>
        <w:t xml:space="preserve">(s): Constitucional, Administrativa. Novena Época. Instancia: Pleno. </w:t>
      </w:r>
      <w:r w:rsidRPr="00222A47">
        <w:rPr>
          <w:rFonts w:ascii="Arial" w:hAnsi="Arial" w:cs="Arial"/>
          <w:sz w:val="18"/>
          <w:szCs w:val="18"/>
        </w:rPr>
        <w:t>Fuente: Semanario Judicial de la Federación y su Gaceta. X, Noviembre de 1999. Tesis: P</w:t>
      </w:r>
      <w:proofErr w:type="gramStart"/>
      <w:r w:rsidRPr="00222A47">
        <w:rPr>
          <w:rFonts w:ascii="Arial" w:hAnsi="Arial" w:cs="Arial"/>
          <w:sz w:val="18"/>
          <w:szCs w:val="18"/>
        </w:rPr>
        <w:t>./</w:t>
      </w:r>
      <w:proofErr w:type="gramEnd"/>
      <w:r w:rsidRPr="00222A47">
        <w:rPr>
          <w:rFonts w:ascii="Arial" w:hAnsi="Arial" w:cs="Arial"/>
          <w:sz w:val="18"/>
          <w:szCs w:val="18"/>
        </w:rPr>
        <w:t>J. 121/99. Página: 14.</w:t>
      </w:r>
    </w:p>
    <w:p w14:paraId="23FFA9F8" w14:textId="77777777" w:rsidR="00644BE9" w:rsidRPr="00222A47" w:rsidRDefault="00644BE9" w:rsidP="00A54D36">
      <w:pPr>
        <w:pStyle w:val="Textonotapie"/>
        <w:ind w:firstLine="709"/>
        <w:jc w:val="both"/>
        <w:rPr>
          <w:rFonts w:ascii="Arial" w:hAnsi="Arial" w:cs="Arial"/>
          <w:sz w:val="18"/>
          <w:szCs w:val="18"/>
        </w:rPr>
      </w:pPr>
    </w:p>
  </w:footnote>
  <w:footnote w:id="17">
    <w:p w14:paraId="009437FA" w14:textId="34A6AB28" w:rsidR="00644BE9" w:rsidRPr="00222A47" w:rsidRDefault="00644BE9" w:rsidP="00321893">
      <w:pPr>
        <w:pStyle w:val="Textonotapie"/>
        <w:jc w:val="both"/>
        <w:rPr>
          <w:sz w:val="18"/>
          <w:szCs w:val="18"/>
        </w:rPr>
      </w:pPr>
      <w:r>
        <w:rPr>
          <w:rStyle w:val="Refdenotaalpie"/>
        </w:rPr>
        <w:footnoteRef/>
      </w:r>
      <w:r>
        <w:t xml:space="preserve"> </w:t>
      </w:r>
      <w:r w:rsidRPr="00222A47">
        <w:rPr>
          <w:sz w:val="18"/>
          <w:szCs w:val="18"/>
        </w:rPr>
        <w:t xml:space="preserve">La mayoría de los argumentos sobre el interés jurídico y </w:t>
      </w:r>
      <w:proofErr w:type="gramStart"/>
      <w:r w:rsidRPr="00222A47">
        <w:rPr>
          <w:sz w:val="18"/>
          <w:szCs w:val="18"/>
        </w:rPr>
        <w:t>legitimo</w:t>
      </w:r>
      <w:proofErr w:type="gramEnd"/>
      <w:r w:rsidRPr="00222A47">
        <w:rPr>
          <w:sz w:val="18"/>
          <w:szCs w:val="18"/>
        </w:rPr>
        <w:t xml:space="preserve"> fueron extraídos de una sentencia de amparo emitida por el Juez Octavo de Distrito en Materia Administrativa en la Ciudad de México en 2018, mediante la cual resolvió la inconstitucionalidad de la Ley de Seguridad Interior.</w:t>
      </w:r>
    </w:p>
    <w:p w14:paraId="377C2A06" w14:textId="77777777" w:rsidR="00644BE9" w:rsidRPr="00222A47" w:rsidRDefault="00644BE9" w:rsidP="00321893">
      <w:pPr>
        <w:pStyle w:val="Textonotapie"/>
        <w:jc w:val="both"/>
        <w:rPr>
          <w:sz w:val="18"/>
          <w:szCs w:val="18"/>
        </w:rPr>
      </w:pPr>
    </w:p>
  </w:footnote>
  <w:footnote w:id="18">
    <w:p w14:paraId="2AE4B77B" w14:textId="6A26228D" w:rsidR="00644BE9" w:rsidRPr="00222A47" w:rsidRDefault="00644BE9" w:rsidP="00650FBC">
      <w:pPr>
        <w:pStyle w:val="Textonotapie"/>
        <w:jc w:val="both"/>
        <w:rPr>
          <w:sz w:val="18"/>
          <w:szCs w:val="18"/>
        </w:rPr>
      </w:pPr>
      <w:r w:rsidRPr="00222A47">
        <w:rPr>
          <w:rStyle w:val="Refdenotaalpie"/>
          <w:sz w:val="18"/>
          <w:szCs w:val="18"/>
        </w:rPr>
        <w:footnoteRef/>
      </w:r>
      <w:r w:rsidRPr="00222A47">
        <w:rPr>
          <w:sz w:val="18"/>
          <w:szCs w:val="18"/>
        </w:rPr>
        <w:t xml:space="preserve"> Época: Séptima Época, Registro: 252648, Instancia: Tribunales Colegiados de Circuito, Tipo de Tesis: Aislada</w:t>
      </w:r>
      <w:r>
        <w:rPr>
          <w:sz w:val="18"/>
          <w:szCs w:val="18"/>
        </w:rPr>
        <w:t xml:space="preserve">, </w:t>
      </w:r>
      <w:r w:rsidRPr="00222A47">
        <w:rPr>
          <w:sz w:val="18"/>
          <w:szCs w:val="18"/>
        </w:rPr>
        <w:t>Fuente: Semanario Judicial de la Federación, Volumen 103-108, Sexta Parte, Materia(s): Común, Tesis: Página: 19:</w:t>
      </w:r>
      <w:r>
        <w:rPr>
          <w:sz w:val="18"/>
          <w:szCs w:val="18"/>
        </w:rPr>
        <w:t xml:space="preserve"> </w:t>
      </w:r>
      <w:r w:rsidRPr="00222A47">
        <w:rPr>
          <w:sz w:val="18"/>
          <w:szCs w:val="18"/>
        </w:rPr>
        <w:t>“</w:t>
      </w:r>
      <w:r w:rsidRPr="00222A47">
        <w:rPr>
          <w:b/>
          <w:bCs/>
          <w:i/>
          <w:iCs/>
          <w:sz w:val="18"/>
          <w:szCs w:val="18"/>
        </w:rPr>
        <w:t xml:space="preserve">ACTOS DERIVADOS DE ACTOS CONSENTIDOS. REQUISITOS DE </w:t>
      </w:r>
      <w:proofErr w:type="gramStart"/>
      <w:r w:rsidRPr="00222A47">
        <w:rPr>
          <w:b/>
          <w:bCs/>
          <w:i/>
          <w:iCs/>
          <w:sz w:val="18"/>
          <w:szCs w:val="18"/>
        </w:rPr>
        <w:t>TRAMITE</w:t>
      </w:r>
      <w:proofErr w:type="gramEnd"/>
      <w:r w:rsidRPr="00222A47">
        <w:rPr>
          <w:b/>
          <w:bCs/>
          <w:i/>
          <w:iCs/>
          <w:sz w:val="18"/>
          <w:szCs w:val="18"/>
        </w:rPr>
        <w:t>. SOBRESEIMIENTO IMPROCEDENTE</w:t>
      </w:r>
      <w:r w:rsidRPr="00222A47">
        <w:rPr>
          <w:i/>
          <w:iCs/>
          <w:sz w:val="18"/>
          <w:szCs w:val="18"/>
        </w:rPr>
        <w:t xml:space="preserve">. Si en una resolución dictada dentro de un procedimiento administrativo se pide al quejoso un requisito como condición para seguir el trámite, y éste manifiesta sus razones para no poder satisfacer ese requisito, cuya legalidad impugna, y se le contesta insistiendo en que lo satisfaga, malamente podría decirse que esta segunda resolución sea un acto derivado de otro consentido, pues esta interpretación del artículo 73, fracciones XI y XII de la Ley de Amparo, haría del proceso legal un laberinto diabólico, en que se tuvieran que impugnar todas las resoluciones adversas aunque fueran de una naturaleza tal que el perjuicio pudiera, en principio, evitarse sin necesidad de llegar a la interposición o promoción de recursos o medios de defensa. No es sino cuando el quejoso expone sus razones y la autoridad insiste en su petición, cuando en verdad surge el conflicto de pretensiones que pueda hacer necesaria la promoción del juicio de amparo, sin obligar al abuso de éste prematuramente. </w:t>
      </w:r>
      <w:r w:rsidRPr="00222A47">
        <w:rPr>
          <w:i/>
          <w:iCs/>
          <w:sz w:val="18"/>
          <w:szCs w:val="18"/>
          <w:u w:val="single"/>
        </w:rPr>
        <w:t>El derecho de los gobernados a defender sus garantías, mediante el juicio de amparo, debe entenderse generosamente y no en una forma rigorista que mutile el juicio de amparo, y lo deje en práctica como un instrumento extraordinariamente limitado, mientras académicamente se le exalta</w:t>
      </w:r>
      <w:r w:rsidRPr="00222A47">
        <w:rPr>
          <w:sz w:val="18"/>
          <w:szCs w:val="18"/>
        </w:rPr>
        <w:t>”.</w:t>
      </w:r>
    </w:p>
    <w:p w14:paraId="115FE729" w14:textId="0BBEEAB2" w:rsidR="00644BE9" w:rsidRDefault="00644BE9">
      <w:pPr>
        <w:pStyle w:val="Textonotapie"/>
      </w:pPr>
    </w:p>
  </w:footnote>
  <w:footnote w:id="19">
    <w:p w14:paraId="39A1323C" w14:textId="6ECBE667" w:rsidR="00644BE9" w:rsidRPr="00321893" w:rsidRDefault="00644BE9" w:rsidP="00321893">
      <w:pPr>
        <w:jc w:val="both"/>
        <w:rPr>
          <w:rFonts w:ascii="Arial" w:hAnsi="Arial" w:cs="Arial"/>
          <w:sz w:val="18"/>
          <w:szCs w:val="24"/>
        </w:rPr>
      </w:pPr>
      <w:r w:rsidRPr="00206FF5">
        <w:rPr>
          <w:rStyle w:val="Refdenotaalpie"/>
          <w:sz w:val="18"/>
        </w:rPr>
        <w:footnoteRef/>
      </w:r>
      <w:r w:rsidRPr="00206FF5">
        <w:rPr>
          <w:sz w:val="18"/>
        </w:rPr>
        <w:t xml:space="preserve"> </w:t>
      </w:r>
      <w:r w:rsidRPr="00B72AB7">
        <w:rPr>
          <w:rFonts w:ascii="Arial" w:hAnsi="Arial" w:cs="Arial"/>
          <w:sz w:val="18"/>
          <w:szCs w:val="24"/>
        </w:rPr>
        <w:t>Época: Décima Época, Registro: 2018417, Instancia: Segunda Sala, Tipo de Tesis: Jurisprudencia, Fuente: Gaceta del Semanario Judicial de la Federación, Libro 60, Noviembre de 2018, Tomo II, Materia(s): Común, Constitucional, Tesis: 2a</w:t>
      </w:r>
      <w:proofErr w:type="gramStart"/>
      <w:r w:rsidRPr="00B72AB7">
        <w:rPr>
          <w:rFonts w:ascii="Arial" w:hAnsi="Arial" w:cs="Arial"/>
          <w:sz w:val="18"/>
          <w:szCs w:val="24"/>
        </w:rPr>
        <w:t>./</w:t>
      </w:r>
      <w:proofErr w:type="gramEnd"/>
      <w:r w:rsidRPr="00B72AB7">
        <w:rPr>
          <w:rFonts w:ascii="Arial" w:hAnsi="Arial" w:cs="Arial"/>
          <w:sz w:val="18"/>
          <w:szCs w:val="24"/>
        </w:rPr>
        <w:t xml:space="preserve">J. 114/2018 (10a.), Página: 1146. </w:t>
      </w:r>
    </w:p>
  </w:footnote>
  <w:footnote w:id="20">
    <w:p w14:paraId="2072EA44" w14:textId="77777777" w:rsidR="00644BE9" w:rsidRPr="0069182C" w:rsidRDefault="00644BE9" w:rsidP="001A6CA3">
      <w:pPr>
        <w:spacing w:after="0" w:line="240" w:lineRule="auto"/>
        <w:jc w:val="both"/>
        <w:rPr>
          <w:rFonts w:ascii="Arial" w:hAnsi="Arial" w:cs="Arial"/>
          <w:sz w:val="20"/>
          <w:szCs w:val="20"/>
        </w:rPr>
      </w:pPr>
      <w:r w:rsidRPr="0069182C">
        <w:rPr>
          <w:rStyle w:val="Refdenotaalpie"/>
          <w:rFonts w:ascii="Arial" w:hAnsi="Arial" w:cs="Arial"/>
          <w:sz w:val="20"/>
          <w:szCs w:val="20"/>
        </w:rPr>
        <w:footnoteRef/>
      </w:r>
      <w:r w:rsidRPr="0069182C">
        <w:rPr>
          <w:rFonts w:ascii="Arial" w:hAnsi="Arial" w:cs="Arial"/>
          <w:sz w:val="20"/>
          <w:szCs w:val="20"/>
        </w:rPr>
        <w:t xml:space="preserve"> </w:t>
      </w:r>
      <w:r w:rsidRPr="004B5B9A">
        <w:rPr>
          <w:rFonts w:ascii="Arial" w:hAnsi="Arial" w:cs="Arial"/>
          <w:sz w:val="18"/>
          <w:szCs w:val="18"/>
        </w:rPr>
        <w:t xml:space="preserve">Época: Décima Época, Registro: 2003881, Instancia: Tribunales Colegiados de Circuito, Tipo de Tesis: Aislada, Fuente: Semanario Judicial de la Federación y su Gaceta, Libro XXI, Junio de 2013, Tomo 2, Materia(s): Constitucional, Común, Tesis: IV.2o.A.15 K (10a.), Página: 1289. </w:t>
      </w:r>
    </w:p>
    <w:p w14:paraId="7391F1A4" w14:textId="77777777" w:rsidR="00644BE9" w:rsidRPr="0069182C" w:rsidRDefault="00644BE9" w:rsidP="001A6CA3">
      <w:pPr>
        <w:pStyle w:val="Textonotapie"/>
        <w:rPr>
          <w:rFonts w:ascii="Arial" w:hAnsi="Arial" w:cs="Arial"/>
        </w:rPr>
      </w:pPr>
    </w:p>
  </w:footnote>
  <w:footnote w:id="21">
    <w:p w14:paraId="0FD40D4B" w14:textId="77777777" w:rsidR="00644BE9" w:rsidRDefault="00644BE9" w:rsidP="000757A0">
      <w:pPr>
        <w:pStyle w:val="Textonotapie"/>
      </w:pPr>
      <w:r>
        <w:rPr>
          <w:rStyle w:val="Refdenotaalpie"/>
        </w:rPr>
        <w:footnoteRef/>
      </w:r>
      <w:r>
        <w:t xml:space="preserve"> Al respecto cabe invocar la tesis I.4o.C.136 C que este tribunal comparte, visible en la página 2381 del tomo XXVII, correspondiente a abril de 2008, Novena Época del Semanario Judicial de la Federación y su Gaceta del tenor siguiente: INTERESES COLECTIVOS O DIFUSOS EN PROCESOS JURISDICCIONALES COLECTIVOS O INDIVIDUALES. CARACTERÍSTICAS INHERENTES.</w:t>
      </w:r>
    </w:p>
    <w:p w14:paraId="550EAC1E" w14:textId="77777777" w:rsidR="00644BE9" w:rsidRDefault="00644BE9" w:rsidP="000757A0">
      <w:pPr>
        <w:pStyle w:val="Textonotapie"/>
      </w:pPr>
    </w:p>
  </w:footnote>
  <w:footnote w:id="22">
    <w:p w14:paraId="2EEDEBBE" w14:textId="77777777" w:rsidR="00644BE9" w:rsidRDefault="00644BE9" w:rsidP="000757A0">
      <w:pPr>
        <w:pStyle w:val="Textonotapie"/>
      </w:pPr>
      <w:r>
        <w:rPr>
          <w:rStyle w:val="Refdenotaalpie"/>
        </w:rPr>
        <w:footnoteRef/>
      </w:r>
      <w:r>
        <w:t xml:space="preserve"> Décima Época, registro 2002812, tesis aislada, Semanario Judicial de la Federación y su Gaceta, Libro XVII, Febrero de 2013, Tomo 1, materia común, página 822.</w:t>
      </w:r>
    </w:p>
  </w:footnote>
  <w:footnote w:id="23">
    <w:p w14:paraId="7879A0A0" w14:textId="77777777" w:rsidR="00644BE9" w:rsidRDefault="00644BE9" w:rsidP="000757A0">
      <w:pPr>
        <w:pStyle w:val="Textonotapie"/>
      </w:pPr>
      <w:r>
        <w:rPr>
          <w:rStyle w:val="Refdenotaalpie"/>
        </w:rPr>
        <w:footnoteRef/>
      </w:r>
      <w:r>
        <w:t xml:space="preserve"> CAPPELLETTI, Mauro, La Protección de Intereses Colectivos y de Grupo en el Proceso Civil en Revista de la Facultad Autónoma de México, Números 105-105, </w:t>
      </w:r>
      <w:proofErr w:type="spellStart"/>
      <w:r>
        <w:t>EneroJunio</w:t>
      </w:r>
      <w:proofErr w:type="spellEnd"/>
      <w:r>
        <w:t xml:space="preserve"> 1977, México, p. 99.</w:t>
      </w:r>
    </w:p>
    <w:p w14:paraId="6D141AB3" w14:textId="77777777" w:rsidR="00644BE9" w:rsidRDefault="00644BE9" w:rsidP="000757A0">
      <w:pPr>
        <w:pStyle w:val="Textonotapie"/>
      </w:pPr>
    </w:p>
  </w:footnote>
  <w:footnote w:id="24">
    <w:p w14:paraId="3751398B" w14:textId="77777777" w:rsidR="00644BE9" w:rsidRDefault="00644BE9" w:rsidP="000757A0">
      <w:pPr>
        <w:pStyle w:val="Textonotapie"/>
      </w:pPr>
      <w:r>
        <w:rPr>
          <w:rStyle w:val="Refdenotaalpie"/>
        </w:rPr>
        <w:footnoteRef/>
      </w:r>
      <w:r>
        <w:t xml:space="preserve"> Suprema Corte de Justicia de la Nación Registro digital: 2019456 Instancia: Segunda Sala Décima Época Materias(s): Común Tesis: 2a</w:t>
      </w:r>
      <w:proofErr w:type="gramStart"/>
      <w:r>
        <w:t>./</w:t>
      </w:r>
      <w:proofErr w:type="gramEnd"/>
      <w:r>
        <w:t xml:space="preserve">J. 51/2019 (10a.) Fuente: Gaceta del Semanario Judicial de la Federación. Libro 64, </w:t>
      </w:r>
      <w:proofErr w:type="gramStart"/>
      <w:r>
        <w:t>Marzo</w:t>
      </w:r>
      <w:proofErr w:type="gramEnd"/>
      <w:r>
        <w:t xml:space="preserve"> de 2019, Tomo II, página 1598 Tipo: Jurisprudencia INTERÉS LEGÍTIMO E INTERÉS JURÍDICO. SUS ELEMENTOS CONSTITUTIVOS COMO REQUISITOS PARA PROMOVER EL JUICIO DE AMPARO INDIRECTO, CONFORME AL ARTÍCULO 107, FRACCIÓN I, DE LA CONSTITUCIÓN POLÍTICA DE LOS ESTADOS UNIDOS MEXICANOS</w:t>
      </w:r>
    </w:p>
  </w:footnote>
  <w:footnote w:id="25">
    <w:p w14:paraId="42194E5B" w14:textId="77777777" w:rsidR="00644BE9" w:rsidRDefault="00644BE9" w:rsidP="000757A0">
      <w:pPr>
        <w:pStyle w:val="Textonotapie"/>
      </w:pPr>
      <w:r>
        <w:rPr>
          <w:rStyle w:val="Refdenotaalpie"/>
        </w:rPr>
        <w:footnoteRef/>
      </w:r>
      <w:r>
        <w:t xml:space="preserve"> Caso Defensor de Derechos Humanos y otros Vs. Guatemala.</w:t>
      </w:r>
    </w:p>
    <w:p w14:paraId="5FDFD020" w14:textId="77777777" w:rsidR="00644BE9" w:rsidRDefault="00644BE9" w:rsidP="000757A0">
      <w:pPr>
        <w:pStyle w:val="Textonotapie"/>
      </w:pPr>
    </w:p>
  </w:footnote>
  <w:footnote w:id="26">
    <w:p w14:paraId="28403803" w14:textId="77777777" w:rsidR="00644BE9" w:rsidRDefault="00644BE9" w:rsidP="000757A0">
      <w:pPr>
        <w:pStyle w:val="Textonotapie"/>
        <w:jc w:val="both"/>
      </w:pPr>
      <w:r>
        <w:rPr>
          <w:rStyle w:val="Refdenotaalpie"/>
        </w:rPr>
        <w:footnoteRef/>
      </w:r>
      <w:r>
        <w:t xml:space="preserve"> La Alta Comisionada de Naciones Unidas para los Derechos Humanos ha sugerido que la calidad de defensora o defensor de derechos humanos se determine de acuerdo con las acciones realizadas por la persona y no otras calidades. Para ser considerada dentro de esta categoría, la persona debe proteger o promover cualquier derecho o derechos a favor de personas o grupos de personas. Véase, Oficina de las Naciones Unidas del Alto Comisionado para los Derechos Humanos, Los Defensores de los Derechos Humanos: Protección del Derecho a Defender los Derechos Humanos, </w:t>
      </w:r>
      <w:proofErr w:type="spellStart"/>
      <w:r>
        <w:t>Fact</w:t>
      </w:r>
      <w:proofErr w:type="spellEnd"/>
      <w:r>
        <w:t xml:space="preserve"> </w:t>
      </w:r>
      <w:proofErr w:type="spellStart"/>
      <w:r>
        <w:t>Sheet</w:t>
      </w:r>
      <w:proofErr w:type="spellEnd"/>
      <w:r>
        <w:t xml:space="preserve"> No. 29, UN </w:t>
      </w:r>
      <w:proofErr w:type="spellStart"/>
      <w:r>
        <w:t>publications</w:t>
      </w:r>
      <w:proofErr w:type="spellEnd"/>
      <w:r>
        <w:t>, Geneva, 2004, pág. 8. Disponible en http</w:t>
      </w:r>
      <w:proofErr w:type="gramStart"/>
      <w:r>
        <w:t>:/</w:t>
      </w:r>
      <w:proofErr w:type="gramEnd"/>
      <w:r>
        <w:t>/www.ohchr.org/Documents/Publications/FactSheet29sp.pdf, y Relatoría Especial sobre la Situación de los Defensores de Derechos Humanos, “</w:t>
      </w:r>
      <w:proofErr w:type="spellStart"/>
      <w:r>
        <w:t>Who</w:t>
      </w:r>
      <w:proofErr w:type="spellEnd"/>
      <w:r>
        <w:t xml:space="preserve"> </w:t>
      </w:r>
      <w:proofErr w:type="spellStart"/>
      <w:r>
        <w:t>is</w:t>
      </w:r>
      <w:proofErr w:type="spellEnd"/>
      <w:r>
        <w:t xml:space="preserve"> a Defender”, Disponible en: </w:t>
      </w:r>
      <w:hyperlink r:id="rId9" w:history="1">
        <w:r w:rsidRPr="00C16343">
          <w:rPr>
            <w:rStyle w:val="Hipervnculo"/>
          </w:rPr>
          <w:t>http://www.ohchr.org/EN/Issues/SRHRDefenders/Pages/Defender.aspx</w:t>
        </w:r>
      </w:hyperlink>
      <w:r>
        <w:t>.</w:t>
      </w:r>
    </w:p>
    <w:p w14:paraId="42B1A381" w14:textId="77777777" w:rsidR="00644BE9" w:rsidRDefault="00644BE9" w:rsidP="000757A0">
      <w:pPr>
        <w:pStyle w:val="Textonotapie"/>
        <w:jc w:val="both"/>
      </w:pPr>
    </w:p>
  </w:footnote>
  <w:footnote w:id="27">
    <w:p w14:paraId="33DA7297" w14:textId="77777777" w:rsidR="00644BE9" w:rsidRDefault="00644BE9" w:rsidP="000757A0">
      <w:pPr>
        <w:pStyle w:val="Textonotapie"/>
        <w:jc w:val="both"/>
      </w:pPr>
      <w:r>
        <w:rPr>
          <w:rStyle w:val="Refdenotaalpie"/>
        </w:rPr>
        <w:footnoteRef/>
      </w:r>
      <w:r>
        <w:t xml:space="preserve"> Las Directrices de la Unión Europea sobre los defensores de los derechos humanos han definido la figura de los defensores y defensoras de derechos humanos como “personas, grupos e instituciones de la sociedad que promueven y protegen los derechos humanos y las libertades fundamentales universalmente reconocidos”. Véase, Consejo de la Unión Europea. Directrices de la Unión Europea sobre los defensores de los derechos humanos, 8 de diciembre de 2008, párr. 3. Disponible en: </w:t>
      </w:r>
      <w:hyperlink r:id="rId10" w:history="1">
        <w:r w:rsidRPr="00C16343">
          <w:rPr>
            <w:rStyle w:val="Hipervnculo"/>
          </w:rPr>
          <w:t>http://www.consilium.europa.eu/uedocs/cmsUpload/16332-re02.es08.pdf</w:t>
        </w:r>
      </w:hyperlink>
      <w:r>
        <w:t>.</w:t>
      </w:r>
    </w:p>
    <w:p w14:paraId="5E6AE5D1" w14:textId="77777777" w:rsidR="00644BE9" w:rsidRDefault="00644BE9" w:rsidP="000757A0">
      <w:pPr>
        <w:pStyle w:val="Textonotapie"/>
      </w:pPr>
    </w:p>
  </w:footnote>
  <w:footnote w:id="28">
    <w:p w14:paraId="45FF7065" w14:textId="77777777" w:rsidR="00644BE9" w:rsidRDefault="00644BE9" w:rsidP="000757A0">
      <w:pPr>
        <w:pStyle w:val="Textonotapie"/>
      </w:pPr>
      <w:r>
        <w:rPr>
          <w:rStyle w:val="Refdenotaalpie"/>
        </w:rPr>
        <w:footnoteRef/>
      </w:r>
      <w:r>
        <w:t xml:space="preserve"> Caso Defensor de derechos humanos y otros vs. Guatemala. Sentencia de 28 de agosto de 2014.</w:t>
      </w:r>
    </w:p>
  </w:footnote>
  <w:footnote w:id="29">
    <w:p w14:paraId="7387BAFD" w14:textId="77777777" w:rsidR="00644BE9" w:rsidRDefault="00644BE9" w:rsidP="000757A0">
      <w:pPr>
        <w:pStyle w:val="Textonotapie"/>
      </w:pPr>
      <w:r>
        <w:rPr>
          <w:rStyle w:val="Refdenotaalpie"/>
        </w:rPr>
        <w:footnoteRef/>
      </w:r>
      <w:r>
        <w:t xml:space="preserve"> Registro digital: 2010971</w:t>
      </w:r>
    </w:p>
  </w:footnote>
  <w:footnote w:id="30">
    <w:p w14:paraId="0BB970E4" w14:textId="77777777" w:rsidR="00644BE9" w:rsidRPr="00E51DFE" w:rsidRDefault="00644BE9" w:rsidP="00EC645F">
      <w:pPr>
        <w:pStyle w:val="Textonotapie"/>
        <w:jc w:val="both"/>
      </w:pPr>
      <w:r>
        <w:rPr>
          <w:rStyle w:val="Refdenotaalpie"/>
        </w:rPr>
        <w:footnoteRef/>
      </w:r>
      <w:r>
        <w:t xml:space="preserve"> Tesis 1a. XXXII/2016 (10a.) de la Primera Sala de la Suprema Corte de Justicia de la Nación, Publicada en la Gaceta del Semanario Judicial de la Federación, Décima Época, libro 27, febrero de dos mil dieciséis, tomo I, página 679. de rubro y texto siguientes: “</w:t>
      </w:r>
      <w:r w:rsidRPr="00E51DFE">
        <w:rPr>
          <w:b/>
        </w:rPr>
        <w:t>INTERÉS LEGÍTIMO EN EL AMPARO CONTRA LEYES. NORMAS CUYA SOLA EXISTENCIA GENERA UNA AFECTACIÓN AUTOAPLICATIVA QUE LO ACTUALIZA</w:t>
      </w:r>
      <w:r>
        <w:t xml:space="preserve">. Esta Primera Sala ha determinado que, de manera excepcional, pueden encontrarse en el ordenamiento jurídico normas generales </w:t>
      </w:r>
      <w:proofErr w:type="spellStart"/>
      <w:r>
        <w:t>heteroaplicativas</w:t>
      </w:r>
      <w:proofErr w:type="spellEnd"/>
      <w:r>
        <w:t xml:space="preserve">, identificables así por su estructura normativa interna, que no obstante, generan una afectación de tal gravedad para nuestra democracia constitucional, que pueden identificarse como </w:t>
      </w:r>
      <w:proofErr w:type="spellStart"/>
      <w:r>
        <w:t>autoaplicativas</w:t>
      </w:r>
      <w:proofErr w:type="spellEnd"/>
      <w:r>
        <w:t>, por lo que debe tenerse por acreditado el interés legítimo para impugnarlas. El primero de este tipo de normas corresponde al de aquellas que son estigmatizadoras, es decir, aquellas que con independencia de que establezcan contenidos condicionados a un acto de aplicación, terminan por proyectar un mensaje discriminatorio contra ciertos sujetos, que resienten una afectación generada por la parte valorativa de la norma, al incluir criterios vedados por el artículo 1o. constitucional. Un segundo tipo de normas en este supuesto, corresponde a aquellas que se erigen como barreras de acceso al debate público o que inhiben la propia deliberación pública, entendiendo que las condiciones normativas para la generación óptima de esta última se encuentran constitucionalmente protegidas, en tanto que son condiciones de existencia de un espacio público sin el cual un gobierno democrático de naturaleza deliberativa no sería posible. La afectación que producen este segundo tipo de normas no es generada por su parte valorativa, sino por sus repercusiones sobre la apropiada preservación de canales de expresión e intercambio de ideas que deben mantenerse abiertos, por ejemplo, estableciendo impedimentos, requisitos u obligaciones, aún de abstención, que obstaculicen el desenvolvimiento de las personas en el debate público, especialmente cuando se refieran al discurso político o a quienes se dedican a informar. Ante este segundo tipo de normas, lo relevante para el juzgador no es determinar si la norma impugnada trasciende en la esfera jurídica del quejoso desde la perspectiva de los actos de aplicación requeridos para su materialización, sino la afectación generada a los canales de deliberación pública”.</w:t>
      </w:r>
    </w:p>
  </w:footnote>
  <w:footnote w:id="31">
    <w:p w14:paraId="6B37A33F" w14:textId="116927EE" w:rsidR="00644BE9" w:rsidRPr="00E918F4" w:rsidRDefault="00644BE9" w:rsidP="00E918F4">
      <w:pPr>
        <w:pStyle w:val="Sangradetextonormal"/>
        <w:rPr>
          <w:rFonts w:ascii="Arial" w:hAnsi="Arial" w:cs="Arial"/>
          <w:bCs/>
          <w:sz w:val="20"/>
        </w:rPr>
      </w:pPr>
      <w:r>
        <w:rPr>
          <w:rStyle w:val="Refdenotaalpie"/>
        </w:rPr>
        <w:footnoteRef/>
      </w:r>
      <w:r>
        <w:t xml:space="preserve"> </w:t>
      </w:r>
      <w:r w:rsidRPr="00E918F4">
        <w:rPr>
          <w:rFonts w:ascii="Arial" w:hAnsi="Arial" w:cs="Arial"/>
          <w:bCs/>
          <w:sz w:val="20"/>
        </w:rPr>
        <w:t>Suprema Corte de Justicia de la Nación</w:t>
      </w:r>
      <w:r>
        <w:rPr>
          <w:rFonts w:ascii="Arial" w:hAnsi="Arial" w:cs="Arial"/>
          <w:bCs/>
          <w:sz w:val="20"/>
        </w:rPr>
        <w:t xml:space="preserve">, </w:t>
      </w:r>
      <w:r w:rsidRPr="00E918F4">
        <w:rPr>
          <w:rFonts w:ascii="Arial" w:hAnsi="Arial" w:cs="Arial"/>
          <w:bCs/>
          <w:sz w:val="20"/>
        </w:rPr>
        <w:t>Registro digital: 167756</w:t>
      </w:r>
      <w:r>
        <w:rPr>
          <w:rFonts w:ascii="Arial" w:hAnsi="Arial" w:cs="Arial"/>
          <w:bCs/>
          <w:sz w:val="20"/>
        </w:rPr>
        <w:t xml:space="preserve">, </w:t>
      </w:r>
      <w:r w:rsidRPr="00E918F4">
        <w:rPr>
          <w:rFonts w:ascii="Arial" w:hAnsi="Arial" w:cs="Arial"/>
          <w:bCs/>
          <w:sz w:val="20"/>
        </w:rPr>
        <w:t>Instancia: Tribunales Colegiados de Circuito</w:t>
      </w:r>
      <w:r>
        <w:rPr>
          <w:rFonts w:ascii="Arial" w:hAnsi="Arial" w:cs="Arial"/>
          <w:bCs/>
          <w:sz w:val="20"/>
        </w:rPr>
        <w:t xml:space="preserve">, </w:t>
      </w:r>
      <w:r w:rsidRPr="00E918F4">
        <w:rPr>
          <w:rFonts w:ascii="Arial" w:hAnsi="Arial" w:cs="Arial"/>
          <w:bCs/>
          <w:sz w:val="20"/>
        </w:rPr>
        <w:t>Novena Época</w:t>
      </w:r>
      <w:r>
        <w:rPr>
          <w:rFonts w:ascii="Arial" w:hAnsi="Arial" w:cs="Arial"/>
          <w:bCs/>
          <w:sz w:val="20"/>
        </w:rPr>
        <w:t xml:space="preserve">, </w:t>
      </w:r>
      <w:r w:rsidRPr="00E918F4">
        <w:rPr>
          <w:rFonts w:ascii="Arial" w:hAnsi="Arial" w:cs="Arial"/>
          <w:bCs/>
          <w:sz w:val="20"/>
        </w:rPr>
        <w:t>Materias(s): Común</w:t>
      </w:r>
      <w:r>
        <w:rPr>
          <w:rFonts w:ascii="Arial" w:hAnsi="Arial" w:cs="Arial"/>
          <w:bCs/>
          <w:sz w:val="20"/>
        </w:rPr>
        <w:t xml:space="preserve">, </w:t>
      </w:r>
      <w:r w:rsidRPr="00E918F4">
        <w:rPr>
          <w:rFonts w:ascii="Arial" w:hAnsi="Arial" w:cs="Arial"/>
          <w:bCs/>
          <w:sz w:val="20"/>
        </w:rPr>
        <w:t>Tesis: VIII.3o. J/30</w:t>
      </w:r>
      <w:r>
        <w:rPr>
          <w:rFonts w:ascii="Arial" w:hAnsi="Arial" w:cs="Arial"/>
          <w:bCs/>
          <w:sz w:val="20"/>
        </w:rPr>
        <w:t xml:space="preserve">, </w:t>
      </w:r>
      <w:r w:rsidRPr="00E918F4">
        <w:rPr>
          <w:rFonts w:ascii="Arial" w:hAnsi="Arial" w:cs="Arial"/>
          <w:bCs/>
          <w:sz w:val="20"/>
        </w:rPr>
        <w:t>Fuente: Semanario Judicial de la Federación y su Gaceta. Tomo XXIX, Marzo de 2009, página 2601</w:t>
      </w:r>
      <w:r>
        <w:rPr>
          <w:rFonts w:ascii="Arial" w:hAnsi="Arial" w:cs="Arial"/>
          <w:bCs/>
          <w:sz w:val="20"/>
        </w:rPr>
        <w:t xml:space="preserve">, </w:t>
      </w:r>
      <w:r w:rsidRPr="00E918F4">
        <w:rPr>
          <w:rFonts w:ascii="Arial" w:hAnsi="Arial" w:cs="Arial"/>
          <w:bCs/>
          <w:sz w:val="20"/>
        </w:rPr>
        <w:t>Tipo: Jurisprudencia</w:t>
      </w:r>
    </w:p>
    <w:p w14:paraId="2D44A668" w14:textId="3BDE02AF" w:rsidR="00644BE9" w:rsidRPr="00E918F4" w:rsidRDefault="00644BE9" w:rsidP="00E918F4">
      <w:pPr>
        <w:pStyle w:val="Textonotapie"/>
        <w:rPr>
          <w:sz w:val="16"/>
        </w:rPr>
      </w:pPr>
    </w:p>
  </w:footnote>
  <w:footnote w:id="32">
    <w:p w14:paraId="4EF1037E" w14:textId="158E9127" w:rsidR="00644BE9" w:rsidRPr="00D71794" w:rsidRDefault="00644BE9" w:rsidP="00D71794">
      <w:pPr>
        <w:spacing w:after="0"/>
        <w:ind w:right="49"/>
        <w:jc w:val="both"/>
        <w:rPr>
          <w:rFonts w:ascii="Arial" w:hAnsi="Arial" w:cs="Arial"/>
          <w:bCs/>
          <w:sz w:val="20"/>
          <w:szCs w:val="24"/>
        </w:rPr>
      </w:pPr>
      <w:r>
        <w:rPr>
          <w:rStyle w:val="Refdenotaalpie"/>
        </w:rPr>
        <w:footnoteRef/>
      </w:r>
      <w:r>
        <w:t xml:space="preserve"> </w:t>
      </w:r>
      <w:r w:rsidRPr="00D71794">
        <w:rPr>
          <w:rFonts w:ascii="Arial" w:hAnsi="Arial" w:cs="Arial"/>
          <w:bCs/>
          <w:sz w:val="20"/>
          <w:szCs w:val="24"/>
        </w:rPr>
        <w:t>Suprema Corte de Justicia de la Nación</w:t>
      </w:r>
      <w:r>
        <w:rPr>
          <w:rFonts w:ascii="Arial" w:hAnsi="Arial" w:cs="Arial"/>
          <w:bCs/>
          <w:sz w:val="20"/>
          <w:szCs w:val="24"/>
        </w:rPr>
        <w:t xml:space="preserve">, </w:t>
      </w:r>
      <w:r w:rsidRPr="00D71794">
        <w:rPr>
          <w:rFonts w:ascii="Arial" w:hAnsi="Arial" w:cs="Arial"/>
          <w:bCs/>
          <w:sz w:val="20"/>
          <w:szCs w:val="24"/>
        </w:rPr>
        <w:t>Registro digital: 191384</w:t>
      </w:r>
      <w:r>
        <w:rPr>
          <w:rFonts w:ascii="Arial" w:hAnsi="Arial" w:cs="Arial"/>
          <w:bCs/>
          <w:sz w:val="20"/>
          <w:szCs w:val="24"/>
        </w:rPr>
        <w:t xml:space="preserve">, </w:t>
      </w:r>
      <w:r w:rsidRPr="00D71794">
        <w:rPr>
          <w:rFonts w:ascii="Arial" w:hAnsi="Arial" w:cs="Arial"/>
          <w:bCs/>
          <w:sz w:val="20"/>
          <w:szCs w:val="24"/>
        </w:rPr>
        <w:t>Instancia: Pleno</w:t>
      </w:r>
      <w:r>
        <w:rPr>
          <w:rFonts w:ascii="Arial" w:hAnsi="Arial" w:cs="Arial"/>
          <w:bCs/>
          <w:sz w:val="20"/>
          <w:szCs w:val="24"/>
        </w:rPr>
        <w:t xml:space="preserve">, </w:t>
      </w:r>
      <w:r w:rsidRPr="00D71794">
        <w:rPr>
          <w:rFonts w:ascii="Arial" w:hAnsi="Arial" w:cs="Arial"/>
          <w:bCs/>
          <w:sz w:val="20"/>
          <w:szCs w:val="24"/>
        </w:rPr>
        <w:t>Novena Época</w:t>
      </w:r>
    </w:p>
    <w:p w14:paraId="6B9A5F81" w14:textId="4C683B0A" w:rsidR="00644BE9" w:rsidRPr="00D71794" w:rsidRDefault="00644BE9" w:rsidP="00D71794">
      <w:pPr>
        <w:spacing w:after="0"/>
        <w:ind w:right="49"/>
        <w:jc w:val="both"/>
        <w:rPr>
          <w:rFonts w:ascii="Arial" w:hAnsi="Arial" w:cs="Arial"/>
          <w:bCs/>
          <w:sz w:val="20"/>
          <w:szCs w:val="24"/>
        </w:rPr>
      </w:pPr>
      <w:r w:rsidRPr="00D71794">
        <w:rPr>
          <w:rFonts w:ascii="Arial" w:hAnsi="Arial" w:cs="Arial"/>
          <w:bCs/>
          <w:sz w:val="20"/>
          <w:szCs w:val="24"/>
        </w:rPr>
        <w:t>Materias(s): Común</w:t>
      </w:r>
      <w:r>
        <w:rPr>
          <w:rFonts w:ascii="Arial" w:hAnsi="Arial" w:cs="Arial"/>
          <w:bCs/>
          <w:sz w:val="20"/>
          <w:szCs w:val="24"/>
        </w:rPr>
        <w:t>, Tesis: P</w:t>
      </w:r>
      <w:proofErr w:type="gramStart"/>
      <w:r>
        <w:rPr>
          <w:rFonts w:ascii="Arial" w:hAnsi="Arial" w:cs="Arial"/>
          <w:bCs/>
          <w:sz w:val="20"/>
          <w:szCs w:val="24"/>
        </w:rPr>
        <w:t>./</w:t>
      </w:r>
      <w:proofErr w:type="gramEnd"/>
      <w:r>
        <w:rPr>
          <w:rFonts w:ascii="Arial" w:hAnsi="Arial" w:cs="Arial"/>
          <w:bCs/>
          <w:sz w:val="20"/>
          <w:szCs w:val="24"/>
        </w:rPr>
        <w:t xml:space="preserve">J. 68/2000, </w:t>
      </w:r>
      <w:r w:rsidRPr="00D71794">
        <w:rPr>
          <w:rFonts w:ascii="Arial" w:hAnsi="Arial" w:cs="Arial"/>
          <w:bCs/>
          <w:sz w:val="20"/>
          <w:szCs w:val="24"/>
        </w:rPr>
        <w:t>Fuente: Semanario Judicial de la Federación y su Gaceta. Tomo XII, Agosto de 2000, página 38</w:t>
      </w:r>
      <w:r>
        <w:rPr>
          <w:rFonts w:ascii="Arial" w:hAnsi="Arial" w:cs="Arial"/>
          <w:bCs/>
          <w:sz w:val="20"/>
          <w:szCs w:val="24"/>
        </w:rPr>
        <w:t xml:space="preserve">, </w:t>
      </w:r>
      <w:r w:rsidRPr="00D71794">
        <w:rPr>
          <w:rFonts w:ascii="Arial" w:hAnsi="Arial" w:cs="Arial"/>
          <w:bCs/>
          <w:sz w:val="20"/>
          <w:szCs w:val="24"/>
        </w:rPr>
        <w:t>Tipo: Jurisprudencia</w:t>
      </w:r>
    </w:p>
    <w:p w14:paraId="6D401DE4" w14:textId="3B6687D3" w:rsidR="00644BE9" w:rsidRPr="00D71794" w:rsidRDefault="00644BE9" w:rsidP="00D71794">
      <w:pPr>
        <w:pStyle w:val="Textonotapie"/>
        <w:jc w:val="both"/>
        <w:rPr>
          <w:sz w:val="16"/>
        </w:rPr>
      </w:pPr>
    </w:p>
  </w:footnote>
  <w:footnote w:id="33">
    <w:p w14:paraId="04CE9E21" w14:textId="77777777" w:rsidR="00644BE9" w:rsidRPr="00A161EF" w:rsidRDefault="00644BE9" w:rsidP="00A161EF">
      <w:pPr>
        <w:spacing w:after="0"/>
        <w:ind w:left="709" w:hanging="709"/>
        <w:jc w:val="both"/>
        <w:rPr>
          <w:rFonts w:ascii="Arial" w:hAnsi="Arial" w:cs="Arial"/>
          <w:sz w:val="20"/>
          <w:szCs w:val="24"/>
          <w:shd w:val="clear" w:color="auto" w:fill="FAFAFA"/>
        </w:rPr>
      </w:pPr>
      <w:r w:rsidRPr="00A161EF">
        <w:rPr>
          <w:rStyle w:val="Refdenotaalpie"/>
          <w:sz w:val="18"/>
        </w:rPr>
        <w:footnoteRef/>
      </w:r>
      <w:r w:rsidRPr="00A161EF">
        <w:rPr>
          <w:sz w:val="18"/>
        </w:rPr>
        <w:t xml:space="preserve"> </w:t>
      </w:r>
      <w:r w:rsidRPr="00A161EF">
        <w:rPr>
          <w:rFonts w:ascii="Arial" w:hAnsi="Arial" w:cs="Arial"/>
          <w:sz w:val="20"/>
          <w:szCs w:val="24"/>
          <w:shd w:val="clear" w:color="auto" w:fill="FAFAFA"/>
        </w:rPr>
        <w:t xml:space="preserve">De Aquino, T. (2008). </w:t>
      </w:r>
      <w:r w:rsidRPr="00A161EF">
        <w:rPr>
          <w:rFonts w:ascii="Arial" w:hAnsi="Arial" w:cs="Arial"/>
          <w:i/>
          <w:sz w:val="20"/>
          <w:szCs w:val="24"/>
          <w:shd w:val="clear" w:color="auto" w:fill="FAFAFA"/>
        </w:rPr>
        <w:t>Suma contra los gentiles</w:t>
      </w:r>
      <w:r w:rsidRPr="00A161EF">
        <w:rPr>
          <w:rFonts w:ascii="Arial" w:hAnsi="Arial" w:cs="Arial"/>
          <w:sz w:val="20"/>
          <w:szCs w:val="24"/>
          <w:shd w:val="clear" w:color="auto" w:fill="FAFAFA"/>
        </w:rPr>
        <w:t>. Grupo editorial Éxodo. Impreso en México. Pág. 1.</w:t>
      </w:r>
    </w:p>
    <w:p w14:paraId="4EB6C3A8" w14:textId="565B3A0B" w:rsidR="00644BE9" w:rsidRPr="00F17A9F" w:rsidRDefault="00644BE9">
      <w:pPr>
        <w:pStyle w:val="Textonotapie"/>
        <w:rPr>
          <w:sz w:val="16"/>
        </w:rPr>
      </w:pPr>
    </w:p>
  </w:footnote>
  <w:footnote w:id="34">
    <w:p w14:paraId="502BC5C3" w14:textId="77777777" w:rsidR="00644BE9" w:rsidRPr="008C1067" w:rsidRDefault="00644BE9" w:rsidP="00B21DB9">
      <w:pPr>
        <w:pStyle w:val="corte4fondo"/>
        <w:spacing w:line="240" w:lineRule="auto"/>
        <w:rPr>
          <w:rFonts w:cs="Arial"/>
          <w:color w:val="000000"/>
          <w:sz w:val="18"/>
          <w:szCs w:val="18"/>
        </w:rPr>
      </w:pPr>
      <w:r w:rsidRPr="008C1067">
        <w:rPr>
          <w:rStyle w:val="Refdenotaalpie"/>
          <w:rFonts w:cs="Arial"/>
          <w:sz w:val="18"/>
          <w:szCs w:val="18"/>
        </w:rPr>
        <w:footnoteRef/>
      </w:r>
      <w:r w:rsidRPr="008C1067">
        <w:rPr>
          <w:rFonts w:cs="Arial"/>
          <w:sz w:val="18"/>
          <w:szCs w:val="18"/>
        </w:rPr>
        <w:t xml:space="preserve"> </w:t>
      </w:r>
      <w:r w:rsidRPr="008C1067">
        <w:rPr>
          <w:rFonts w:cs="Arial"/>
          <w:color w:val="000000"/>
          <w:sz w:val="18"/>
          <w:szCs w:val="18"/>
        </w:rPr>
        <w:t>Primera Sala de la Suprema Corte de Justicia de la Nación, amparo en revisión 448/2010, resuelto en sesión de al trece de julio de dos mil once, p. 27 y 28.</w:t>
      </w:r>
    </w:p>
  </w:footnote>
  <w:footnote w:id="35">
    <w:p w14:paraId="3A4EB73C" w14:textId="77777777" w:rsidR="00644BE9" w:rsidRPr="008C1067" w:rsidRDefault="00644BE9" w:rsidP="00B21DB9">
      <w:pPr>
        <w:ind w:firstLine="709"/>
        <w:jc w:val="both"/>
        <w:rPr>
          <w:rFonts w:ascii="Arial" w:hAnsi="Arial" w:cs="Arial"/>
          <w:sz w:val="18"/>
          <w:szCs w:val="18"/>
        </w:rPr>
      </w:pPr>
      <w:r w:rsidRPr="008C1067">
        <w:rPr>
          <w:rStyle w:val="Refdenotaalpie"/>
          <w:rFonts w:ascii="Arial" w:hAnsi="Arial" w:cs="Arial"/>
          <w:sz w:val="18"/>
          <w:szCs w:val="18"/>
        </w:rPr>
        <w:footnoteRef/>
      </w:r>
      <w:r w:rsidRPr="008C1067">
        <w:rPr>
          <w:rFonts w:ascii="Arial" w:hAnsi="Arial" w:cs="Arial"/>
          <w:sz w:val="18"/>
          <w:szCs w:val="18"/>
        </w:rPr>
        <w:t xml:space="preserve"> </w:t>
      </w:r>
      <w:proofErr w:type="spellStart"/>
      <w:r w:rsidRPr="008C1067">
        <w:rPr>
          <w:rFonts w:ascii="Arial" w:hAnsi="Arial" w:cs="Arial"/>
          <w:sz w:val="18"/>
          <w:szCs w:val="18"/>
        </w:rPr>
        <w:t>CoIDH</w:t>
      </w:r>
      <w:proofErr w:type="spellEnd"/>
      <w:r w:rsidRPr="008C1067">
        <w:rPr>
          <w:rFonts w:ascii="Arial" w:hAnsi="Arial" w:cs="Arial"/>
          <w:sz w:val="18"/>
          <w:szCs w:val="18"/>
        </w:rPr>
        <w:t xml:space="preserve">. Caso Cabrera García y Montiel </w:t>
      </w:r>
      <w:r w:rsidRPr="008C1067">
        <w:rPr>
          <w:rFonts w:ascii="Arial" w:hAnsi="Arial" w:cs="Arial"/>
          <w:i/>
          <w:sz w:val="18"/>
          <w:szCs w:val="18"/>
        </w:rPr>
        <w:t>Vs</w:t>
      </w:r>
      <w:r w:rsidRPr="008C1067">
        <w:rPr>
          <w:rFonts w:ascii="Arial" w:hAnsi="Arial" w:cs="Arial"/>
          <w:sz w:val="18"/>
          <w:szCs w:val="18"/>
        </w:rPr>
        <w:t xml:space="preserve">. </w:t>
      </w:r>
      <w:proofErr w:type="gramStart"/>
      <w:r w:rsidRPr="008C1067">
        <w:rPr>
          <w:rFonts w:ascii="Arial" w:hAnsi="Arial" w:cs="Arial"/>
          <w:b/>
          <w:sz w:val="18"/>
          <w:szCs w:val="18"/>
        </w:rPr>
        <w:t>México</w:t>
      </w:r>
      <w:r w:rsidRPr="008C1067">
        <w:rPr>
          <w:rFonts w:ascii="Arial" w:hAnsi="Arial" w:cs="Arial"/>
          <w:sz w:val="18"/>
          <w:szCs w:val="18"/>
        </w:rPr>
        <w:t xml:space="preserve">  (</w:t>
      </w:r>
      <w:proofErr w:type="gramEnd"/>
      <w:r w:rsidRPr="008C1067">
        <w:rPr>
          <w:rFonts w:ascii="Arial" w:hAnsi="Arial" w:cs="Arial"/>
          <w:sz w:val="18"/>
          <w:szCs w:val="18"/>
        </w:rPr>
        <w:t>Excepción Preliminar, Fondo, Reparaciones y Costas). No. 220. Serie C. Sentencia de 26 de noviembre de 2010, párr. 88 y 89.</w:t>
      </w:r>
    </w:p>
  </w:footnote>
  <w:footnote w:id="36">
    <w:p w14:paraId="78D85A20" w14:textId="77777777" w:rsidR="00644BE9" w:rsidRPr="008C1067" w:rsidRDefault="00644BE9" w:rsidP="00B21DB9">
      <w:pPr>
        <w:pStyle w:val="Estilo"/>
        <w:ind w:firstLine="709"/>
        <w:rPr>
          <w:rFonts w:cs="Arial"/>
          <w:sz w:val="18"/>
          <w:szCs w:val="18"/>
        </w:rPr>
      </w:pPr>
      <w:r w:rsidRPr="008C1067">
        <w:rPr>
          <w:rFonts w:cs="Arial"/>
          <w:sz w:val="18"/>
          <w:szCs w:val="18"/>
        </w:rPr>
        <w:footnoteRef/>
      </w:r>
      <w:r w:rsidRPr="008C1067">
        <w:rPr>
          <w:rFonts w:cs="Arial"/>
          <w:sz w:val="18"/>
          <w:szCs w:val="18"/>
        </w:rPr>
        <w:t xml:space="preserve"> </w:t>
      </w:r>
      <w:r w:rsidRPr="008C1067">
        <w:rPr>
          <w:rFonts w:cs="Arial"/>
          <w:b/>
          <w:sz w:val="18"/>
          <w:szCs w:val="18"/>
        </w:rPr>
        <w:t>Ley de Disciplina del Ejército y Fuerza Aérea Mexicanos</w:t>
      </w:r>
    </w:p>
    <w:p w14:paraId="1F067BF5" w14:textId="77777777" w:rsidR="00644BE9" w:rsidRPr="008C1067" w:rsidRDefault="00644BE9" w:rsidP="00B21DB9">
      <w:pPr>
        <w:pStyle w:val="Estilo"/>
        <w:ind w:firstLine="709"/>
        <w:rPr>
          <w:rFonts w:cs="Arial"/>
          <w:sz w:val="18"/>
          <w:szCs w:val="18"/>
        </w:rPr>
      </w:pPr>
      <w:r w:rsidRPr="008C1067">
        <w:rPr>
          <w:rFonts w:cs="Arial"/>
          <w:b/>
          <w:sz w:val="18"/>
          <w:szCs w:val="18"/>
        </w:rPr>
        <w:t>Artículo 6o.-</w:t>
      </w:r>
      <w:r w:rsidRPr="008C1067">
        <w:rPr>
          <w:rFonts w:cs="Arial"/>
          <w:sz w:val="18"/>
          <w:szCs w:val="18"/>
        </w:rPr>
        <w:t xml:space="preserve"> En caso de extrema necesidad en actos del servicio, el superior podrá servirse de sus armas o de la fuerza a su mando para obtener obediencia a sus órdenes o mantener la disciplina.</w:t>
      </w:r>
    </w:p>
  </w:footnote>
  <w:footnote w:id="37">
    <w:p w14:paraId="56CE2312" w14:textId="77777777" w:rsidR="00644BE9" w:rsidRPr="008C1067" w:rsidRDefault="00644BE9" w:rsidP="00B21DB9">
      <w:pPr>
        <w:pStyle w:val="Estilo"/>
        <w:ind w:firstLine="709"/>
        <w:rPr>
          <w:rFonts w:cs="Arial"/>
          <w:sz w:val="18"/>
          <w:szCs w:val="18"/>
        </w:rPr>
      </w:pPr>
      <w:r w:rsidRPr="008C1067">
        <w:rPr>
          <w:rFonts w:cs="Arial"/>
          <w:sz w:val="18"/>
          <w:szCs w:val="18"/>
        </w:rPr>
        <w:footnoteRef/>
      </w:r>
      <w:r w:rsidRPr="008C1067">
        <w:rPr>
          <w:rFonts w:cs="Arial"/>
          <w:sz w:val="18"/>
          <w:szCs w:val="18"/>
        </w:rPr>
        <w:t xml:space="preserve"> </w:t>
      </w:r>
      <w:r w:rsidRPr="008C1067">
        <w:rPr>
          <w:rFonts w:cs="Arial"/>
          <w:b/>
          <w:sz w:val="18"/>
          <w:szCs w:val="18"/>
        </w:rPr>
        <w:t>Ley de Disciplina para el Personal de La Armada de México</w:t>
      </w:r>
    </w:p>
    <w:p w14:paraId="3D2444CD" w14:textId="77777777" w:rsidR="00644BE9" w:rsidRPr="008C1067" w:rsidRDefault="00644BE9" w:rsidP="00B21DB9">
      <w:pPr>
        <w:pStyle w:val="Estilo"/>
        <w:ind w:firstLine="709"/>
        <w:rPr>
          <w:rFonts w:cs="Arial"/>
          <w:sz w:val="18"/>
          <w:szCs w:val="18"/>
        </w:rPr>
      </w:pPr>
      <w:r w:rsidRPr="008C1067">
        <w:rPr>
          <w:rFonts w:cs="Arial"/>
          <w:b/>
          <w:sz w:val="18"/>
          <w:szCs w:val="18"/>
        </w:rPr>
        <w:t>Artículo 17.-</w:t>
      </w:r>
      <w:r w:rsidRPr="008C1067">
        <w:rPr>
          <w:rFonts w:cs="Arial"/>
          <w:sz w:val="18"/>
          <w:szCs w:val="18"/>
        </w:rPr>
        <w:t xml:space="preserve"> Quien reciba una orden y advierta que de su ejecución puede derivarse manifiestamente la comisión de un hecho sancionable o una infracción disciplinaria, deberá exponerlo al superior que la dio y en caso de persistir la orden, la solicitará por escrito para salvaguardar su responsabilidad.</w:t>
      </w:r>
    </w:p>
  </w:footnote>
  <w:footnote w:id="38">
    <w:p w14:paraId="0CC95A7E" w14:textId="213F72AA" w:rsidR="00644BE9" w:rsidRDefault="00644BE9" w:rsidP="00F17A9F">
      <w:pPr>
        <w:jc w:val="both"/>
        <w:rPr>
          <w:rFonts w:ascii="Arial" w:hAnsi="Arial" w:cs="Arial"/>
          <w:sz w:val="24"/>
        </w:rPr>
      </w:pPr>
      <w:r w:rsidRPr="00F17A9F">
        <w:rPr>
          <w:rStyle w:val="Refdenotaalpie"/>
          <w:sz w:val="18"/>
        </w:rPr>
        <w:footnoteRef/>
      </w:r>
      <w:r w:rsidRPr="00F17A9F">
        <w:rPr>
          <w:sz w:val="18"/>
        </w:rPr>
        <w:t xml:space="preserve"> </w:t>
      </w:r>
      <w:r w:rsidRPr="00F17A9F">
        <w:rPr>
          <w:rFonts w:ascii="Arial" w:hAnsi="Arial" w:cs="Arial"/>
          <w:sz w:val="20"/>
        </w:rPr>
        <w:t xml:space="preserve">Diccionario Jurídico Mexicano (1984) Instituto de Investigaciones Jurídicas de la Universidad Autónoma de México, Tomo III D </w:t>
      </w:r>
      <w:r>
        <w:rPr>
          <w:rFonts w:ascii="Arial" w:hAnsi="Arial" w:cs="Arial"/>
          <w:sz w:val="20"/>
        </w:rPr>
        <w:t>p.</w:t>
      </w:r>
      <w:r w:rsidRPr="00F17A9F">
        <w:rPr>
          <w:rFonts w:ascii="Arial" w:hAnsi="Arial" w:cs="Arial"/>
          <w:sz w:val="20"/>
        </w:rPr>
        <w:t>144</w:t>
      </w:r>
      <w:r>
        <w:rPr>
          <w:rFonts w:ascii="Arial" w:hAnsi="Arial" w:cs="Arial"/>
          <w:sz w:val="24"/>
        </w:rPr>
        <w:t>.</w:t>
      </w:r>
    </w:p>
    <w:p w14:paraId="638FC68C" w14:textId="0A4178F1" w:rsidR="00644BE9" w:rsidRDefault="00644BE9">
      <w:pPr>
        <w:pStyle w:val="Textonotapie"/>
      </w:pPr>
    </w:p>
  </w:footnote>
  <w:footnote w:id="39">
    <w:p w14:paraId="1AC8BE2A" w14:textId="0C814904" w:rsidR="00644BE9" w:rsidRDefault="00644BE9">
      <w:pPr>
        <w:pStyle w:val="Textonotapie"/>
        <w:rPr>
          <w:rFonts w:ascii="Arial" w:hAnsi="Arial" w:cs="Arial"/>
          <w:sz w:val="24"/>
        </w:rPr>
      </w:pPr>
      <w:r>
        <w:rPr>
          <w:rStyle w:val="Refdenotaalpie"/>
        </w:rPr>
        <w:footnoteRef/>
      </w:r>
      <w:r>
        <w:t xml:space="preserve"> </w:t>
      </w:r>
      <w:r w:rsidRPr="00F17A9F">
        <w:rPr>
          <w:rFonts w:ascii="Arial" w:hAnsi="Arial" w:cs="Arial"/>
        </w:rPr>
        <w:t xml:space="preserve">Diccionario Jurídico Mexicano (1984) Instituto de Investigaciones Jurídicas de la Universidad Autónoma de México, Tomo III D </w:t>
      </w:r>
      <w:r>
        <w:rPr>
          <w:rFonts w:ascii="Arial" w:hAnsi="Arial" w:cs="Arial"/>
        </w:rPr>
        <w:t>pp.183.</w:t>
      </w:r>
    </w:p>
    <w:p w14:paraId="7A273D00" w14:textId="77777777" w:rsidR="00644BE9" w:rsidRDefault="00644BE9">
      <w:pPr>
        <w:pStyle w:val="Textonotapie"/>
      </w:pPr>
    </w:p>
  </w:footnote>
  <w:footnote w:id="40">
    <w:p w14:paraId="78A9A774" w14:textId="52681681" w:rsidR="00644BE9" w:rsidRPr="00225E93" w:rsidRDefault="00644BE9" w:rsidP="00225E93">
      <w:pPr>
        <w:spacing w:after="0"/>
        <w:jc w:val="both"/>
        <w:rPr>
          <w:rFonts w:ascii="Arial" w:hAnsi="Arial" w:cs="Arial"/>
        </w:rPr>
      </w:pPr>
      <w:r>
        <w:rPr>
          <w:rStyle w:val="Refdenotaalpie"/>
        </w:rPr>
        <w:footnoteRef/>
      </w:r>
      <w:r>
        <w:t xml:space="preserve"> </w:t>
      </w:r>
      <w:r w:rsidRPr="00225E93">
        <w:rPr>
          <w:rFonts w:ascii="Arial" w:hAnsi="Arial" w:cs="Arial"/>
        </w:rPr>
        <w:t>Suprema Corte de Justicia de la Nación</w:t>
      </w:r>
      <w:r>
        <w:rPr>
          <w:rFonts w:ascii="Arial" w:hAnsi="Arial" w:cs="Arial"/>
        </w:rPr>
        <w:t xml:space="preserve">, </w:t>
      </w:r>
      <w:r w:rsidRPr="00225E93">
        <w:rPr>
          <w:rFonts w:ascii="Arial" w:hAnsi="Arial" w:cs="Arial"/>
        </w:rPr>
        <w:t>Registro digital: 2003047</w:t>
      </w:r>
      <w:r>
        <w:rPr>
          <w:rFonts w:ascii="Arial" w:hAnsi="Arial" w:cs="Arial"/>
        </w:rPr>
        <w:t xml:space="preserve">, </w:t>
      </w:r>
      <w:r w:rsidRPr="00225E93">
        <w:rPr>
          <w:rFonts w:ascii="Arial" w:hAnsi="Arial" w:cs="Arial"/>
        </w:rPr>
        <w:t>Instancia: Pleno</w:t>
      </w:r>
      <w:r>
        <w:rPr>
          <w:rFonts w:ascii="Arial" w:hAnsi="Arial" w:cs="Arial"/>
        </w:rPr>
        <w:t xml:space="preserve">, </w:t>
      </w:r>
      <w:r w:rsidRPr="00225E93">
        <w:rPr>
          <w:rFonts w:ascii="Arial" w:hAnsi="Arial" w:cs="Arial"/>
        </w:rPr>
        <w:t>Décima Época</w:t>
      </w:r>
      <w:r>
        <w:rPr>
          <w:rFonts w:ascii="Arial" w:hAnsi="Arial" w:cs="Arial"/>
        </w:rPr>
        <w:t xml:space="preserve">, </w:t>
      </w:r>
      <w:r w:rsidRPr="00225E93">
        <w:rPr>
          <w:rFonts w:ascii="Arial" w:hAnsi="Arial" w:cs="Arial"/>
        </w:rPr>
        <w:t>Materias(s): Constitucional, Penal</w:t>
      </w:r>
      <w:r>
        <w:rPr>
          <w:rFonts w:ascii="Arial" w:hAnsi="Arial" w:cs="Arial"/>
        </w:rPr>
        <w:t xml:space="preserve">, </w:t>
      </w:r>
      <w:r w:rsidRPr="00225E93">
        <w:rPr>
          <w:rFonts w:ascii="Arial" w:hAnsi="Arial" w:cs="Arial"/>
        </w:rPr>
        <w:t>Tesis: P. VI/2013 (10a.)</w:t>
      </w:r>
      <w:r>
        <w:rPr>
          <w:rFonts w:ascii="Arial" w:hAnsi="Arial" w:cs="Arial"/>
        </w:rPr>
        <w:t xml:space="preserve">, </w:t>
      </w:r>
      <w:r w:rsidRPr="00225E93">
        <w:rPr>
          <w:rFonts w:ascii="Arial" w:hAnsi="Arial" w:cs="Arial"/>
        </w:rPr>
        <w:t>Fuente: Semanario Judicial de la Federación y su Gaceta. Libro XVIII, Marzo de 2013, Tomo 1, página 364</w:t>
      </w:r>
      <w:r>
        <w:rPr>
          <w:rFonts w:ascii="Arial" w:hAnsi="Arial" w:cs="Arial"/>
        </w:rPr>
        <w:t xml:space="preserve">, </w:t>
      </w:r>
      <w:r w:rsidRPr="00225E93">
        <w:rPr>
          <w:rFonts w:ascii="Arial" w:hAnsi="Arial" w:cs="Arial"/>
        </w:rPr>
        <w:t>Tipo: Aislada</w:t>
      </w:r>
    </w:p>
    <w:p w14:paraId="3ED11F53" w14:textId="09305643" w:rsidR="00644BE9" w:rsidRDefault="00644BE9">
      <w:pPr>
        <w:pStyle w:val="Textonotapie"/>
      </w:pPr>
    </w:p>
  </w:footnote>
  <w:footnote w:id="41">
    <w:p w14:paraId="19245A01" w14:textId="5B573CA0" w:rsidR="00644BE9" w:rsidRPr="00225E93" w:rsidRDefault="00644BE9" w:rsidP="00225E93">
      <w:pPr>
        <w:spacing w:after="0"/>
        <w:jc w:val="both"/>
        <w:rPr>
          <w:sz w:val="16"/>
        </w:rPr>
      </w:pPr>
      <w:r>
        <w:rPr>
          <w:rStyle w:val="Refdenotaalpie"/>
        </w:rPr>
        <w:footnoteRef/>
      </w:r>
      <w:r>
        <w:t xml:space="preserve"> </w:t>
      </w:r>
      <w:r w:rsidRPr="00225E93">
        <w:rPr>
          <w:rFonts w:ascii="Arial" w:hAnsi="Arial" w:cs="Arial"/>
          <w:sz w:val="20"/>
        </w:rPr>
        <w:t>Suprema Corte de Justicia de la Nación</w:t>
      </w:r>
      <w:r>
        <w:rPr>
          <w:rFonts w:ascii="Arial" w:hAnsi="Arial" w:cs="Arial"/>
          <w:sz w:val="20"/>
        </w:rPr>
        <w:t xml:space="preserve">, </w:t>
      </w:r>
      <w:r w:rsidRPr="00225E93">
        <w:rPr>
          <w:rFonts w:ascii="Arial" w:hAnsi="Arial" w:cs="Arial"/>
          <w:sz w:val="20"/>
        </w:rPr>
        <w:t>Registro digital: 199336</w:t>
      </w:r>
      <w:r>
        <w:rPr>
          <w:rFonts w:ascii="Arial" w:hAnsi="Arial" w:cs="Arial"/>
          <w:sz w:val="20"/>
        </w:rPr>
        <w:t xml:space="preserve">, </w:t>
      </w:r>
      <w:r w:rsidRPr="00225E93">
        <w:rPr>
          <w:rFonts w:ascii="Arial" w:hAnsi="Arial" w:cs="Arial"/>
          <w:sz w:val="20"/>
        </w:rPr>
        <w:t>Instancia: Tribunales Colegiados de Circuito</w:t>
      </w:r>
      <w:r>
        <w:rPr>
          <w:rFonts w:ascii="Arial" w:hAnsi="Arial" w:cs="Arial"/>
          <w:sz w:val="20"/>
        </w:rPr>
        <w:t xml:space="preserve">, </w:t>
      </w:r>
      <w:r w:rsidRPr="00225E93">
        <w:rPr>
          <w:rFonts w:ascii="Arial" w:hAnsi="Arial" w:cs="Arial"/>
          <w:sz w:val="20"/>
        </w:rPr>
        <w:t>Novena Época</w:t>
      </w:r>
      <w:r>
        <w:rPr>
          <w:rFonts w:ascii="Arial" w:hAnsi="Arial" w:cs="Arial"/>
          <w:sz w:val="20"/>
        </w:rPr>
        <w:t xml:space="preserve">, </w:t>
      </w:r>
      <w:r w:rsidRPr="00225E93">
        <w:rPr>
          <w:rFonts w:ascii="Arial" w:hAnsi="Arial" w:cs="Arial"/>
          <w:sz w:val="20"/>
        </w:rPr>
        <w:t>Materias(s): Administrativa</w:t>
      </w:r>
      <w:r>
        <w:rPr>
          <w:rFonts w:ascii="Arial" w:hAnsi="Arial" w:cs="Arial"/>
          <w:sz w:val="20"/>
        </w:rPr>
        <w:t xml:space="preserve">, </w:t>
      </w:r>
      <w:r w:rsidRPr="00225E93">
        <w:rPr>
          <w:rFonts w:ascii="Arial" w:hAnsi="Arial" w:cs="Arial"/>
          <w:sz w:val="20"/>
        </w:rPr>
        <w:t>Tesis: I.4o.A.189 A</w:t>
      </w:r>
      <w:r>
        <w:rPr>
          <w:rFonts w:ascii="Arial" w:hAnsi="Arial" w:cs="Arial"/>
          <w:sz w:val="20"/>
        </w:rPr>
        <w:t xml:space="preserve">, </w:t>
      </w:r>
      <w:r w:rsidRPr="00225E93">
        <w:rPr>
          <w:rFonts w:ascii="Arial" w:hAnsi="Arial" w:cs="Arial"/>
          <w:sz w:val="20"/>
        </w:rPr>
        <w:t>Fuente: Semanario Judicial de la Federación y su Gaceta. Tomo V, Febrero de 1997, página 762</w:t>
      </w:r>
      <w:r>
        <w:rPr>
          <w:rFonts w:ascii="Arial" w:hAnsi="Arial" w:cs="Arial"/>
          <w:sz w:val="20"/>
        </w:rPr>
        <w:t xml:space="preserve">, </w:t>
      </w:r>
      <w:r w:rsidRPr="00225E93">
        <w:rPr>
          <w:rFonts w:ascii="Arial" w:hAnsi="Arial" w:cs="Arial"/>
          <w:sz w:val="20"/>
        </w:rPr>
        <w:t>Tipo: Aislada</w:t>
      </w:r>
    </w:p>
  </w:footnote>
  <w:footnote w:id="42">
    <w:p w14:paraId="52E223AD" w14:textId="6C465536" w:rsidR="00644BE9" w:rsidRDefault="00644BE9" w:rsidP="00290CCF">
      <w:pPr>
        <w:pStyle w:val="Textonotapie"/>
        <w:jc w:val="both"/>
      </w:pPr>
      <w:r>
        <w:rPr>
          <w:rStyle w:val="Refdenotaalpie"/>
        </w:rPr>
        <w:footnoteRef/>
      </w:r>
      <w:r>
        <w:t xml:space="preserve"> Artículo 76. Son facultades exclusivas del Senado:… II. Ratificar los nombramientos que el mismo funcionario haga de los Secretarios de Estado, en caso de que éste opte por un gobierno de coalición, con excepción de los titulares de los ramos de Defensa Nacional y Marina; del Secretario responsable del control interno del Ejecutivo Federal; del Secretario de Relaciones; de los embajadores y cónsules generales; de los empleados superiores del ramo de Relaciones; de los integrantes de los órganos colegiados encargados de la regulación en materia de telecomunicaciones, energía, competencia económica, y coroneles y demás jefes superiores del Ejército, Armada y Fuerza Aérea Nacionales, en los términos que la ley disponga;</w:t>
      </w:r>
    </w:p>
  </w:footnote>
  <w:footnote w:id="43">
    <w:p w14:paraId="36A93EDB" w14:textId="5E6E39D0" w:rsidR="00644BE9" w:rsidRDefault="00644BE9">
      <w:pPr>
        <w:pStyle w:val="Textonotapie"/>
      </w:pPr>
      <w:r>
        <w:rPr>
          <w:rStyle w:val="Refdenotaalpie"/>
        </w:rPr>
        <w:footnoteRef/>
      </w:r>
      <w:r>
        <w:t xml:space="preserve"> </w:t>
      </w:r>
      <w:hyperlink r:id="rId11" w:history="1">
        <w:r w:rsidRPr="00DD0F78">
          <w:rPr>
            <w:rStyle w:val="Hipervnculo"/>
          </w:rPr>
          <w:t>https://www.oas.org/es/cidh/informes/IA.asp?Year=2020</w:t>
        </w:r>
      </w:hyperlink>
    </w:p>
    <w:p w14:paraId="00454F5F" w14:textId="77777777" w:rsidR="00644BE9" w:rsidRDefault="00644BE9">
      <w:pPr>
        <w:pStyle w:val="Textonotapie"/>
      </w:pPr>
    </w:p>
  </w:footnote>
  <w:footnote w:id="44">
    <w:p w14:paraId="51F7EE02" w14:textId="77777777" w:rsidR="00644BE9" w:rsidRPr="00FA5A81" w:rsidRDefault="00644BE9" w:rsidP="009F1D39">
      <w:pPr>
        <w:pStyle w:val="Sangradetextonormal"/>
        <w:spacing w:line="276" w:lineRule="auto"/>
        <w:ind w:left="708" w:firstLine="0"/>
        <w:rPr>
          <w:rFonts w:ascii="Arial" w:hAnsi="Arial" w:cs="Arial"/>
          <w:sz w:val="16"/>
          <w:szCs w:val="22"/>
        </w:rPr>
      </w:pPr>
      <w:r w:rsidRPr="00FA5A81">
        <w:rPr>
          <w:rStyle w:val="Refdenotaalpie"/>
          <w:sz w:val="22"/>
        </w:rPr>
        <w:footnoteRef/>
      </w:r>
      <w:r w:rsidRPr="00FA5A81">
        <w:rPr>
          <w:sz w:val="22"/>
        </w:rPr>
        <w:t xml:space="preserve"> </w:t>
      </w:r>
      <w:hyperlink r:id="rId12" w:history="1">
        <w:r w:rsidRPr="00FA5A81">
          <w:rPr>
            <w:rStyle w:val="Hipervnculo"/>
            <w:rFonts w:ascii="Arial" w:hAnsi="Arial" w:cs="Arial"/>
            <w:sz w:val="20"/>
          </w:rPr>
          <w:t>https://politica.expansion.mx/mexico/2020/05/12/fuerzas-armadas-en-las-calles-la-continuacion-de-una-estrategia-fallida</w:t>
        </w:r>
      </w:hyperlink>
    </w:p>
    <w:p w14:paraId="2F72AD93" w14:textId="77777777" w:rsidR="00644BE9" w:rsidRPr="00FA5A81" w:rsidRDefault="00644BE9" w:rsidP="009F1D39">
      <w:pPr>
        <w:pStyle w:val="Textonotapie"/>
        <w:rPr>
          <w:lang w:val="es-ES"/>
        </w:rPr>
      </w:pPr>
    </w:p>
  </w:footnote>
  <w:footnote w:id="45">
    <w:p w14:paraId="5D79BAFD" w14:textId="77777777" w:rsidR="00644BE9" w:rsidRPr="008C1067" w:rsidRDefault="00644BE9" w:rsidP="009F1D39">
      <w:pPr>
        <w:spacing w:after="0" w:line="240" w:lineRule="auto"/>
        <w:jc w:val="both"/>
        <w:rPr>
          <w:rFonts w:ascii="Arial" w:hAnsi="Arial" w:cs="Arial"/>
          <w:i/>
          <w:iCs/>
          <w:sz w:val="18"/>
          <w:szCs w:val="18"/>
        </w:rPr>
      </w:pPr>
      <w:r w:rsidRPr="008C1067">
        <w:rPr>
          <w:rStyle w:val="Refdenotaalpie"/>
          <w:sz w:val="18"/>
          <w:szCs w:val="18"/>
        </w:rPr>
        <w:footnoteRef/>
      </w:r>
      <w:r w:rsidRPr="008C1067">
        <w:rPr>
          <w:sz w:val="18"/>
          <w:szCs w:val="18"/>
        </w:rPr>
        <w:t xml:space="preserve"> </w:t>
      </w:r>
      <w:r w:rsidRPr="008C1067">
        <w:rPr>
          <w:rFonts w:ascii="Arial" w:hAnsi="Arial" w:cs="Arial"/>
          <w:i/>
          <w:iCs/>
          <w:sz w:val="18"/>
          <w:szCs w:val="18"/>
        </w:rPr>
        <w:t>Época: Décima Época, Registro: 2015306, Instancia: Primera Sala, Tipo de Tesis: Jurisprudencia, Fuente: Gaceta del Semanario Judicial de la Federación, Libro 47, Octubre de 2017, Tomo I, Materia(s): Constitucional, Tesis: 1a</w:t>
      </w:r>
      <w:proofErr w:type="gramStart"/>
      <w:r w:rsidRPr="008C1067">
        <w:rPr>
          <w:rFonts w:ascii="Arial" w:hAnsi="Arial" w:cs="Arial"/>
          <w:i/>
          <w:iCs/>
          <w:sz w:val="18"/>
          <w:szCs w:val="18"/>
        </w:rPr>
        <w:t>./</w:t>
      </w:r>
      <w:proofErr w:type="gramEnd"/>
      <w:r w:rsidRPr="008C1067">
        <w:rPr>
          <w:rFonts w:ascii="Arial" w:hAnsi="Arial" w:cs="Arial"/>
          <w:i/>
          <w:iCs/>
          <w:sz w:val="18"/>
          <w:szCs w:val="18"/>
        </w:rPr>
        <w:t xml:space="preserve">J. 86/2017 (10a.) </w:t>
      </w:r>
    </w:p>
    <w:p w14:paraId="22076CE7" w14:textId="77777777" w:rsidR="00644BE9" w:rsidRPr="008C1067" w:rsidRDefault="00644BE9" w:rsidP="009F1D39">
      <w:pPr>
        <w:spacing w:after="0" w:line="240" w:lineRule="auto"/>
        <w:jc w:val="both"/>
        <w:rPr>
          <w:rFonts w:ascii="Arial" w:hAnsi="Arial" w:cs="Arial"/>
          <w:i/>
          <w:iCs/>
          <w:sz w:val="18"/>
          <w:szCs w:val="18"/>
        </w:rPr>
      </w:pPr>
      <w:r w:rsidRPr="008C1067">
        <w:rPr>
          <w:rFonts w:ascii="Arial" w:hAnsi="Arial" w:cs="Arial"/>
          <w:i/>
          <w:iCs/>
          <w:sz w:val="18"/>
          <w:szCs w:val="18"/>
        </w:rPr>
        <w:t xml:space="preserve">Página: 191. </w:t>
      </w:r>
    </w:p>
    <w:p w14:paraId="11E9B077" w14:textId="77777777" w:rsidR="00644BE9" w:rsidRPr="008C1067" w:rsidRDefault="00644BE9" w:rsidP="009F1D39">
      <w:pPr>
        <w:pStyle w:val="Textonotapie"/>
        <w:rPr>
          <w:sz w:val="18"/>
          <w:szCs w:val="18"/>
        </w:rPr>
      </w:pPr>
    </w:p>
  </w:footnote>
  <w:footnote w:id="46">
    <w:p w14:paraId="5A047127" w14:textId="563C420E" w:rsidR="00644BE9" w:rsidRPr="00B32F18" w:rsidRDefault="00644BE9" w:rsidP="00B32F18">
      <w:pPr>
        <w:spacing w:after="0" w:line="257" w:lineRule="auto"/>
        <w:jc w:val="both"/>
        <w:rPr>
          <w:rFonts w:ascii="Arial" w:hAnsi="Arial" w:cs="Arial"/>
          <w:sz w:val="20"/>
          <w:szCs w:val="24"/>
          <w:shd w:val="clear" w:color="auto" w:fill="FFFFFF"/>
        </w:rPr>
      </w:pPr>
      <w:r>
        <w:rPr>
          <w:rStyle w:val="Refdenotaalpie"/>
        </w:rPr>
        <w:footnoteRef/>
      </w:r>
      <w:r>
        <w:t xml:space="preserve"> </w:t>
      </w:r>
      <w:r w:rsidRPr="00B32F18">
        <w:rPr>
          <w:rFonts w:ascii="Arial" w:hAnsi="Arial" w:cs="Arial"/>
          <w:sz w:val="20"/>
          <w:szCs w:val="24"/>
          <w:shd w:val="clear" w:color="auto" w:fill="FFFFFF"/>
        </w:rPr>
        <w:t xml:space="preserve">Suprema Corte de Justicia de la Nación, Registro digital: 2024650, Instancia: Primera Sala, Undécima Época, Materias(s): Constitucional, Tesis: 1a. XIII/2022 (11a.), Fuente: Gaceta del Semanario Judicial de la Federación. Libro 13, </w:t>
      </w:r>
      <w:proofErr w:type="gramStart"/>
      <w:r w:rsidRPr="00B32F18">
        <w:rPr>
          <w:rFonts w:ascii="Arial" w:hAnsi="Arial" w:cs="Arial"/>
          <w:sz w:val="20"/>
          <w:szCs w:val="24"/>
          <w:shd w:val="clear" w:color="auto" w:fill="FFFFFF"/>
        </w:rPr>
        <w:t>Mayo</w:t>
      </w:r>
      <w:proofErr w:type="gramEnd"/>
      <w:r w:rsidRPr="00B32F18">
        <w:rPr>
          <w:rFonts w:ascii="Arial" w:hAnsi="Arial" w:cs="Arial"/>
          <w:sz w:val="20"/>
          <w:szCs w:val="24"/>
          <w:shd w:val="clear" w:color="auto" w:fill="FFFFFF"/>
        </w:rPr>
        <w:t xml:space="preserve"> de 2022, Tomo IV, página 3498, Tipo: Aislada</w:t>
      </w:r>
      <w:r>
        <w:rPr>
          <w:rFonts w:ascii="Arial" w:hAnsi="Arial" w:cs="Arial"/>
          <w:sz w:val="20"/>
          <w:szCs w:val="24"/>
          <w:shd w:val="clear" w:color="auto" w:fill="FFFFFF"/>
        </w:rPr>
        <w:t>.</w:t>
      </w:r>
    </w:p>
    <w:p w14:paraId="5B1F52F0" w14:textId="176C4520" w:rsidR="00644BE9" w:rsidRDefault="00644BE9">
      <w:pPr>
        <w:pStyle w:val="Textonotapie"/>
      </w:pPr>
    </w:p>
  </w:footnote>
  <w:footnote w:id="47">
    <w:p w14:paraId="6666A7F8" w14:textId="44893A40" w:rsidR="00644BE9" w:rsidRDefault="00644BE9" w:rsidP="00D4121D">
      <w:pPr>
        <w:spacing w:before="240"/>
        <w:ind w:right="49"/>
        <w:jc w:val="both"/>
      </w:pPr>
      <w:r>
        <w:rPr>
          <w:rStyle w:val="Refdenotaalpie"/>
        </w:rPr>
        <w:footnoteRef/>
      </w:r>
      <w:r>
        <w:t xml:space="preserve"> </w:t>
      </w:r>
      <w:r w:rsidRPr="00B33728">
        <w:rPr>
          <w:rFonts w:ascii="Arial" w:hAnsi="Arial" w:cs="Arial"/>
          <w:sz w:val="20"/>
          <w:szCs w:val="24"/>
        </w:rPr>
        <w:t xml:space="preserve">Registro digital: 173105, Instancia: Tribunales Colegiados de Circuito, Novena Época, Materias(s): Común, Tesis: VI.1o.A.35 K, Fuente: Semanario Judicial de la Federación y su Gaceta. Tomo XXV, </w:t>
      </w:r>
      <w:proofErr w:type="gramStart"/>
      <w:r w:rsidRPr="00B33728">
        <w:rPr>
          <w:rFonts w:ascii="Arial" w:hAnsi="Arial" w:cs="Arial"/>
          <w:sz w:val="20"/>
          <w:szCs w:val="24"/>
        </w:rPr>
        <w:t>Marzo</w:t>
      </w:r>
      <w:proofErr w:type="gramEnd"/>
      <w:r w:rsidRPr="00B33728">
        <w:rPr>
          <w:rFonts w:ascii="Arial" w:hAnsi="Arial" w:cs="Arial"/>
          <w:sz w:val="20"/>
          <w:szCs w:val="24"/>
        </w:rPr>
        <w:t xml:space="preserve"> de 2007, página 1605, Tipo: Aislada</w:t>
      </w:r>
      <w:r>
        <w:rPr>
          <w:rFonts w:ascii="Arial" w:hAnsi="Arial" w:cs="Arial"/>
          <w:sz w:val="20"/>
          <w:szCs w:val="24"/>
        </w:rPr>
        <w:t>.</w:t>
      </w:r>
    </w:p>
  </w:footnote>
  <w:footnote w:id="48">
    <w:p w14:paraId="2196C2EC" w14:textId="37D9D633" w:rsidR="00644BE9" w:rsidRDefault="00644BE9" w:rsidP="00513DBE">
      <w:pPr>
        <w:spacing w:before="240"/>
        <w:ind w:right="49"/>
        <w:jc w:val="both"/>
      </w:pPr>
      <w:r>
        <w:rPr>
          <w:rStyle w:val="Refdenotaalpie"/>
        </w:rPr>
        <w:footnoteRef/>
      </w:r>
      <w:r>
        <w:t xml:space="preserve"> </w:t>
      </w:r>
      <w:r w:rsidRPr="00D4121D">
        <w:rPr>
          <w:rFonts w:ascii="Arial" w:hAnsi="Arial" w:cs="Arial"/>
          <w:sz w:val="20"/>
          <w:szCs w:val="24"/>
        </w:rPr>
        <w:t>Registro digital: 2005881, Instancia: Pleno, Décima Época, Materias(s): Constitucional, Tesis: P. V/2014 (10a.), Fuente: Gaceta del Semanario Judicial de la Federación. Libro 4, Marzo de 2014, Tomo I, página 224, Tipo: Aislada</w:t>
      </w:r>
      <w:r>
        <w:rPr>
          <w:rFonts w:ascii="Arial" w:hAnsi="Arial" w:cs="Arial"/>
          <w:sz w:val="20"/>
          <w:szCs w:val="24"/>
        </w:rPr>
        <w:t xml:space="preserve"> </w:t>
      </w:r>
    </w:p>
  </w:footnote>
  <w:footnote w:id="49">
    <w:p w14:paraId="48CDBB7D" w14:textId="77777777" w:rsidR="00644BE9" w:rsidRPr="00513DBE" w:rsidRDefault="00644BE9" w:rsidP="00513DBE">
      <w:pPr>
        <w:spacing w:before="240"/>
        <w:ind w:right="49"/>
        <w:jc w:val="both"/>
        <w:rPr>
          <w:rFonts w:ascii="Arial" w:hAnsi="Arial" w:cs="Arial"/>
          <w:sz w:val="20"/>
          <w:szCs w:val="24"/>
        </w:rPr>
      </w:pPr>
      <w:r>
        <w:rPr>
          <w:rStyle w:val="Refdenotaalpie"/>
        </w:rPr>
        <w:footnoteRef/>
      </w:r>
      <w:r>
        <w:t xml:space="preserve"> </w:t>
      </w:r>
      <w:r w:rsidRPr="00513DBE">
        <w:rPr>
          <w:rFonts w:ascii="Arial" w:hAnsi="Arial" w:cs="Arial"/>
          <w:sz w:val="20"/>
          <w:szCs w:val="24"/>
        </w:rPr>
        <w:t>Suprema Corte de Justicia de la Nación, Registro digital: 241270, Instancia: Tercera Sala, Séptima Época, Materias(s): Civil, Fuente: Semanario Judicial de la Federación. Volumen 88, Cuarta Parte, página 29, Tipo: Aislada</w:t>
      </w:r>
    </w:p>
    <w:p w14:paraId="4A63E824" w14:textId="6B80D73A" w:rsidR="00644BE9" w:rsidRDefault="00644BE9">
      <w:pPr>
        <w:pStyle w:val="Textonotapie"/>
      </w:pPr>
    </w:p>
  </w:footnote>
  <w:footnote w:id="50">
    <w:p w14:paraId="5698A985" w14:textId="77777777" w:rsidR="00644BE9" w:rsidRDefault="00644BE9" w:rsidP="009524F9">
      <w:pPr>
        <w:pStyle w:val="Textonotapie"/>
        <w:jc w:val="both"/>
      </w:pPr>
      <w:r>
        <w:rPr>
          <w:rStyle w:val="Refdenotaalpie"/>
        </w:rPr>
        <w:footnoteRef/>
      </w:r>
      <w:r>
        <w:t xml:space="preserve"> Artículo 76. Son facultades exclusivas del Senado:… II. Ratificar los nombramientos que el mismo funcionario haga de los Secretarios de Estado, en caso de que éste opte por un gobierno de coalición, con excepción de los titulares de los ramos de Defensa Nacional y Marina; del Secretario responsable del control interno del Ejecutivo Federal; del Secretario de Relaciones; de los embajadores y cónsules generales; de los empleados superiores del ramo de Relaciones; de los integrantes de los órganos colegiados encargados de la regulación en materia de telecomunicaciones, energía, competencia económica, y coroneles y demás jefes superiores del Ejército, Armada y Fuerza Aérea Nacionales, en los términos que la ley disponga;</w:t>
      </w:r>
    </w:p>
  </w:footnote>
  <w:footnote w:id="51">
    <w:p w14:paraId="0AB8EB07" w14:textId="77777777" w:rsidR="00644BE9" w:rsidRPr="00F37259" w:rsidRDefault="00644BE9" w:rsidP="007C0E90">
      <w:pPr>
        <w:spacing w:after="0" w:line="240" w:lineRule="auto"/>
        <w:ind w:right="49"/>
        <w:jc w:val="both"/>
        <w:rPr>
          <w:rFonts w:ascii="Arial" w:hAnsi="Arial" w:cs="Arial"/>
          <w:sz w:val="18"/>
          <w:szCs w:val="24"/>
          <w:shd w:val="clear" w:color="auto" w:fill="FFFFFF"/>
        </w:rPr>
      </w:pPr>
      <w:r>
        <w:rPr>
          <w:rStyle w:val="Refdenotaalpie"/>
        </w:rPr>
        <w:footnoteRef/>
      </w:r>
      <w:r>
        <w:t xml:space="preserve"> </w:t>
      </w:r>
      <w:r w:rsidRPr="00F37259">
        <w:rPr>
          <w:rFonts w:ascii="Arial" w:hAnsi="Arial" w:cs="Arial"/>
          <w:sz w:val="18"/>
          <w:szCs w:val="24"/>
          <w:shd w:val="clear" w:color="auto" w:fill="FFFFFF"/>
        </w:rPr>
        <w:t>Época: Novena Época</w:t>
      </w:r>
      <w:r>
        <w:rPr>
          <w:rFonts w:ascii="Arial" w:hAnsi="Arial" w:cs="Arial"/>
          <w:sz w:val="18"/>
          <w:szCs w:val="24"/>
          <w:shd w:val="clear" w:color="auto" w:fill="FFFFFF"/>
        </w:rPr>
        <w:t xml:space="preserve">, </w:t>
      </w:r>
      <w:r w:rsidRPr="00F37259">
        <w:rPr>
          <w:rFonts w:ascii="Arial" w:hAnsi="Arial" w:cs="Arial"/>
          <w:sz w:val="18"/>
          <w:szCs w:val="24"/>
          <w:shd w:val="clear" w:color="auto" w:fill="FFFFFF"/>
        </w:rPr>
        <w:t>Registro: 169143</w:t>
      </w:r>
      <w:r>
        <w:rPr>
          <w:rFonts w:ascii="Arial" w:hAnsi="Arial" w:cs="Arial"/>
          <w:sz w:val="18"/>
          <w:szCs w:val="24"/>
          <w:shd w:val="clear" w:color="auto" w:fill="FFFFFF"/>
        </w:rPr>
        <w:t xml:space="preserve">. </w:t>
      </w:r>
      <w:r w:rsidRPr="00F37259">
        <w:rPr>
          <w:rFonts w:ascii="Arial" w:hAnsi="Arial" w:cs="Arial"/>
          <w:sz w:val="18"/>
          <w:szCs w:val="24"/>
          <w:shd w:val="clear" w:color="auto" w:fill="FFFFFF"/>
        </w:rPr>
        <w:t>Instancia: Tribunales Colegiados de Circuito</w:t>
      </w:r>
      <w:r>
        <w:rPr>
          <w:rFonts w:ascii="Arial" w:hAnsi="Arial" w:cs="Arial"/>
          <w:sz w:val="18"/>
          <w:szCs w:val="24"/>
          <w:shd w:val="clear" w:color="auto" w:fill="FFFFFF"/>
        </w:rPr>
        <w:t xml:space="preserve">, </w:t>
      </w:r>
      <w:r w:rsidRPr="00F37259">
        <w:rPr>
          <w:rFonts w:ascii="Arial" w:hAnsi="Arial" w:cs="Arial"/>
          <w:sz w:val="18"/>
          <w:szCs w:val="24"/>
          <w:shd w:val="clear" w:color="auto" w:fill="FFFFFF"/>
        </w:rPr>
        <w:t>Tipo de Tesis: Jurisprudencia</w:t>
      </w:r>
      <w:r>
        <w:rPr>
          <w:rFonts w:ascii="Arial" w:hAnsi="Arial" w:cs="Arial"/>
          <w:sz w:val="18"/>
          <w:szCs w:val="24"/>
          <w:shd w:val="clear" w:color="auto" w:fill="FFFFFF"/>
        </w:rPr>
        <w:t xml:space="preserve">, </w:t>
      </w:r>
      <w:r w:rsidRPr="00F37259">
        <w:rPr>
          <w:rFonts w:ascii="Arial" w:hAnsi="Arial" w:cs="Arial"/>
          <w:sz w:val="18"/>
          <w:szCs w:val="24"/>
          <w:shd w:val="clear" w:color="auto" w:fill="FFFFFF"/>
        </w:rPr>
        <w:t>Fuente: Semanario Judicial de la Federación y su Gaceta</w:t>
      </w:r>
      <w:r>
        <w:rPr>
          <w:rFonts w:ascii="Arial" w:hAnsi="Arial" w:cs="Arial"/>
          <w:sz w:val="18"/>
          <w:szCs w:val="24"/>
          <w:shd w:val="clear" w:color="auto" w:fill="FFFFFF"/>
        </w:rPr>
        <w:t xml:space="preserve">, </w:t>
      </w:r>
      <w:r w:rsidRPr="00F37259">
        <w:rPr>
          <w:rFonts w:ascii="Arial" w:hAnsi="Arial" w:cs="Arial"/>
          <w:sz w:val="18"/>
          <w:szCs w:val="24"/>
          <w:shd w:val="clear" w:color="auto" w:fill="FFFFFF"/>
        </w:rPr>
        <w:t>Tomo XXVIII, Agosto de 2008</w:t>
      </w:r>
      <w:r>
        <w:rPr>
          <w:rFonts w:ascii="Arial" w:hAnsi="Arial" w:cs="Arial"/>
          <w:sz w:val="18"/>
          <w:szCs w:val="24"/>
          <w:shd w:val="clear" w:color="auto" w:fill="FFFFFF"/>
        </w:rPr>
        <w:t xml:space="preserve">, </w:t>
      </w:r>
      <w:r w:rsidRPr="00F37259">
        <w:rPr>
          <w:rFonts w:ascii="Arial" w:hAnsi="Arial" w:cs="Arial"/>
          <w:sz w:val="18"/>
          <w:szCs w:val="24"/>
          <w:shd w:val="clear" w:color="auto" w:fill="FFFFFF"/>
        </w:rPr>
        <w:t>Materia(s): Común</w:t>
      </w:r>
      <w:r>
        <w:rPr>
          <w:rFonts w:ascii="Arial" w:hAnsi="Arial" w:cs="Arial"/>
          <w:sz w:val="18"/>
          <w:szCs w:val="24"/>
          <w:shd w:val="clear" w:color="auto" w:fill="FFFFFF"/>
        </w:rPr>
        <w:t xml:space="preserve">, </w:t>
      </w:r>
      <w:r w:rsidRPr="00F37259">
        <w:rPr>
          <w:rFonts w:ascii="Arial" w:hAnsi="Arial" w:cs="Arial"/>
          <w:sz w:val="18"/>
          <w:szCs w:val="24"/>
          <w:shd w:val="clear" w:color="auto" w:fill="FFFFFF"/>
        </w:rPr>
        <w:t>Tesis: I.7o.A. J/41</w:t>
      </w:r>
      <w:r>
        <w:rPr>
          <w:rFonts w:ascii="Arial" w:hAnsi="Arial" w:cs="Arial"/>
          <w:sz w:val="18"/>
          <w:szCs w:val="24"/>
          <w:shd w:val="clear" w:color="auto" w:fill="FFFFFF"/>
        </w:rPr>
        <w:t xml:space="preserve">, </w:t>
      </w:r>
      <w:r w:rsidRPr="00F37259">
        <w:rPr>
          <w:rFonts w:ascii="Arial" w:hAnsi="Arial" w:cs="Arial"/>
          <w:sz w:val="18"/>
          <w:szCs w:val="24"/>
          <w:shd w:val="clear" w:color="auto" w:fill="FFFFFF"/>
        </w:rPr>
        <w:t>Página: 799</w:t>
      </w:r>
      <w:r>
        <w:rPr>
          <w:rFonts w:ascii="Arial" w:hAnsi="Arial" w:cs="Arial"/>
          <w:sz w:val="18"/>
          <w:szCs w:val="24"/>
          <w:shd w:val="clear" w:color="auto" w:fill="FFFFFF"/>
        </w:rPr>
        <w:t>.</w:t>
      </w:r>
      <w:r w:rsidRPr="00F37259">
        <w:rPr>
          <w:rFonts w:ascii="Arial" w:hAnsi="Arial" w:cs="Arial"/>
          <w:sz w:val="18"/>
          <w:szCs w:val="24"/>
          <w:shd w:val="clear" w:color="auto" w:fill="FFFFFF"/>
        </w:rPr>
        <w:t xml:space="preserve"> </w:t>
      </w:r>
    </w:p>
    <w:p w14:paraId="731D0F35" w14:textId="77777777" w:rsidR="00644BE9" w:rsidRPr="00F37259" w:rsidRDefault="00644BE9" w:rsidP="007C0E90">
      <w:pPr>
        <w:pStyle w:val="Textonotapie"/>
        <w:jc w:val="both"/>
        <w:rPr>
          <w:sz w:val="14"/>
        </w:rPr>
      </w:pPr>
    </w:p>
  </w:footnote>
  <w:footnote w:id="52">
    <w:p w14:paraId="3CDD4FC7" w14:textId="77777777" w:rsidR="00644BE9" w:rsidRPr="00F37259" w:rsidRDefault="00644BE9" w:rsidP="007C0E90">
      <w:pPr>
        <w:spacing w:after="0" w:line="240" w:lineRule="auto"/>
        <w:ind w:right="49"/>
        <w:jc w:val="both"/>
        <w:rPr>
          <w:rFonts w:ascii="Arial" w:hAnsi="Arial" w:cs="Arial"/>
          <w:sz w:val="18"/>
          <w:szCs w:val="24"/>
        </w:rPr>
      </w:pPr>
      <w:r w:rsidRPr="00F37259">
        <w:rPr>
          <w:rStyle w:val="Refdenotaalpie"/>
          <w:sz w:val="16"/>
        </w:rPr>
        <w:footnoteRef/>
      </w:r>
      <w:r w:rsidRPr="00F37259">
        <w:rPr>
          <w:sz w:val="16"/>
        </w:rPr>
        <w:t xml:space="preserve"> </w:t>
      </w:r>
      <w:r w:rsidRPr="00F37259">
        <w:rPr>
          <w:rFonts w:ascii="Arial" w:hAnsi="Arial" w:cs="Arial"/>
          <w:sz w:val="18"/>
          <w:szCs w:val="24"/>
        </w:rPr>
        <w:t>Época: Séptima Época</w:t>
      </w:r>
      <w:r>
        <w:rPr>
          <w:rFonts w:ascii="Arial" w:hAnsi="Arial" w:cs="Arial"/>
          <w:sz w:val="18"/>
          <w:szCs w:val="24"/>
        </w:rPr>
        <w:t xml:space="preserve">, </w:t>
      </w:r>
      <w:r w:rsidRPr="00F37259">
        <w:rPr>
          <w:rFonts w:ascii="Arial" w:hAnsi="Arial" w:cs="Arial"/>
          <w:sz w:val="18"/>
          <w:szCs w:val="24"/>
        </w:rPr>
        <w:t>Registro: 255677</w:t>
      </w:r>
      <w:r>
        <w:rPr>
          <w:rFonts w:ascii="Arial" w:hAnsi="Arial" w:cs="Arial"/>
          <w:sz w:val="18"/>
          <w:szCs w:val="24"/>
        </w:rPr>
        <w:t xml:space="preserve">, </w:t>
      </w:r>
      <w:r w:rsidRPr="00F37259">
        <w:rPr>
          <w:rFonts w:ascii="Arial" w:hAnsi="Arial" w:cs="Arial"/>
          <w:sz w:val="18"/>
          <w:szCs w:val="24"/>
        </w:rPr>
        <w:t>Instancia: Tribunales Colegiados de Circuito</w:t>
      </w:r>
      <w:r>
        <w:rPr>
          <w:rFonts w:ascii="Arial" w:hAnsi="Arial" w:cs="Arial"/>
          <w:sz w:val="18"/>
          <w:szCs w:val="24"/>
        </w:rPr>
        <w:t xml:space="preserve">, </w:t>
      </w:r>
      <w:r w:rsidRPr="00F37259">
        <w:rPr>
          <w:rFonts w:ascii="Arial" w:hAnsi="Arial" w:cs="Arial"/>
          <w:sz w:val="18"/>
          <w:szCs w:val="24"/>
        </w:rPr>
        <w:t>Tipo de Tesis: Aislada</w:t>
      </w:r>
      <w:r>
        <w:rPr>
          <w:rFonts w:ascii="Arial" w:hAnsi="Arial" w:cs="Arial"/>
          <w:sz w:val="18"/>
          <w:szCs w:val="24"/>
        </w:rPr>
        <w:t xml:space="preserve">, </w:t>
      </w:r>
    </w:p>
    <w:p w14:paraId="114A51F3" w14:textId="77777777" w:rsidR="00644BE9" w:rsidRPr="00F37259" w:rsidRDefault="00644BE9" w:rsidP="007C0E90">
      <w:pPr>
        <w:spacing w:after="0" w:line="240" w:lineRule="auto"/>
        <w:ind w:right="49"/>
        <w:jc w:val="both"/>
        <w:rPr>
          <w:rFonts w:ascii="Arial" w:hAnsi="Arial" w:cs="Arial"/>
          <w:sz w:val="18"/>
          <w:szCs w:val="24"/>
        </w:rPr>
      </w:pPr>
      <w:r w:rsidRPr="00F37259">
        <w:rPr>
          <w:rFonts w:ascii="Arial" w:hAnsi="Arial" w:cs="Arial"/>
          <w:sz w:val="18"/>
          <w:szCs w:val="24"/>
        </w:rPr>
        <w:t>Fuente: Semanario Judicial de la Federación</w:t>
      </w:r>
      <w:r>
        <w:rPr>
          <w:rFonts w:ascii="Arial" w:hAnsi="Arial" w:cs="Arial"/>
          <w:sz w:val="18"/>
          <w:szCs w:val="24"/>
        </w:rPr>
        <w:t xml:space="preserve">, </w:t>
      </w:r>
      <w:r w:rsidRPr="00F37259">
        <w:rPr>
          <w:rFonts w:ascii="Arial" w:hAnsi="Arial" w:cs="Arial"/>
          <w:sz w:val="18"/>
          <w:szCs w:val="24"/>
        </w:rPr>
        <w:t>Volumen 60, Sexta Parte</w:t>
      </w:r>
      <w:r>
        <w:rPr>
          <w:rFonts w:ascii="Arial" w:hAnsi="Arial" w:cs="Arial"/>
          <w:sz w:val="18"/>
          <w:szCs w:val="24"/>
        </w:rPr>
        <w:t xml:space="preserve">, </w:t>
      </w:r>
      <w:r w:rsidRPr="00F37259">
        <w:rPr>
          <w:rFonts w:ascii="Arial" w:hAnsi="Arial" w:cs="Arial"/>
          <w:sz w:val="18"/>
          <w:szCs w:val="24"/>
        </w:rPr>
        <w:t>Materia(s): Común</w:t>
      </w:r>
      <w:r>
        <w:rPr>
          <w:rFonts w:ascii="Arial" w:hAnsi="Arial" w:cs="Arial"/>
          <w:sz w:val="18"/>
          <w:szCs w:val="24"/>
        </w:rPr>
        <w:t xml:space="preserve">, </w:t>
      </w:r>
      <w:r w:rsidRPr="00F37259">
        <w:rPr>
          <w:rFonts w:ascii="Arial" w:hAnsi="Arial" w:cs="Arial"/>
          <w:sz w:val="18"/>
          <w:szCs w:val="24"/>
        </w:rPr>
        <w:t>Tesis: Página: 29</w:t>
      </w:r>
      <w:r>
        <w:rPr>
          <w:rFonts w:ascii="Arial" w:hAnsi="Arial" w:cs="Arial"/>
          <w:sz w:val="18"/>
          <w:szCs w:val="24"/>
        </w:rPr>
        <w:t>.</w:t>
      </w:r>
      <w:r w:rsidRPr="00F37259">
        <w:rPr>
          <w:rFonts w:ascii="Arial" w:hAnsi="Arial" w:cs="Arial"/>
          <w:sz w:val="18"/>
          <w:szCs w:val="24"/>
        </w:rPr>
        <w:t xml:space="preserve"> </w:t>
      </w:r>
    </w:p>
    <w:p w14:paraId="6B3683C8" w14:textId="77777777" w:rsidR="00644BE9" w:rsidRDefault="00644BE9" w:rsidP="007C0E90">
      <w:pPr>
        <w:pStyle w:val="Textonotapie"/>
      </w:pPr>
    </w:p>
  </w:footnote>
  <w:footnote w:id="53">
    <w:p w14:paraId="256A8BD0" w14:textId="77777777" w:rsidR="00644BE9" w:rsidRPr="009600F1" w:rsidRDefault="00644BE9" w:rsidP="007C0E90">
      <w:pPr>
        <w:spacing w:after="0" w:line="240" w:lineRule="auto"/>
        <w:jc w:val="both"/>
        <w:rPr>
          <w:rFonts w:ascii="Arial" w:hAnsi="Arial" w:cs="Arial"/>
          <w:i/>
          <w:sz w:val="18"/>
          <w:szCs w:val="24"/>
        </w:rPr>
      </w:pPr>
      <w:r>
        <w:rPr>
          <w:rStyle w:val="Refdenotaalpie"/>
        </w:rPr>
        <w:footnoteRef/>
      </w:r>
      <w:r>
        <w:t xml:space="preserve"> </w:t>
      </w:r>
      <w:r w:rsidRPr="009600F1">
        <w:rPr>
          <w:rFonts w:ascii="Arial" w:hAnsi="Arial" w:cs="Arial"/>
          <w:i/>
          <w:sz w:val="18"/>
          <w:szCs w:val="24"/>
        </w:rPr>
        <w:t>Época: Séptima Época</w:t>
      </w:r>
      <w:r>
        <w:rPr>
          <w:rFonts w:ascii="Arial" w:hAnsi="Arial" w:cs="Arial"/>
          <w:i/>
          <w:sz w:val="18"/>
          <w:szCs w:val="24"/>
        </w:rPr>
        <w:t xml:space="preserve">, </w:t>
      </w:r>
      <w:r w:rsidRPr="009600F1">
        <w:rPr>
          <w:rFonts w:ascii="Arial" w:hAnsi="Arial" w:cs="Arial"/>
          <w:i/>
          <w:sz w:val="18"/>
          <w:szCs w:val="24"/>
        </w:rPr>
        <w:t>Registro: 238212</w:t>
      </w:r>
      <w:r>
        <w:rPr>
          <w:rFonts w:ascii="Arial" w:hAnsi="Arial" w:cs="Arial"/>
          <w:i/>
          <w:sz w:val="18"/>
          <w:szCs w:val="24"/>
        </w:rPr>
        <w:t xml:space="preserve">, </w:t>
      </w:r>
      <w:r w:rsidRPr="009600F1">
        <w:rPr>
          <w:rFonts w:ascii="Arial" w:hAnsi="Arial" w:cs="Arial"/>
          <w:i/>
          <w:sz w:val="18"/>
          <w:szCs w:val="24"/>
        </w:rPr>
        <w:t>Instancia: Segunda Sala</w:t>
      </w:r>
      <w:r>
        <w:rPr>
          <w:rFonts w:ascii="Arial" w:hAnsi="Arial" w:cs="Arial"/>
          <w:i/>
          <w:sz w:val="18"/>
          <w:szCs w:val="24"/>
        </w:rPr>
        <w:t xml:space="preserve">, </w:t>
      </w:r>
      <w:r w:rsidRPr="009600F1">
        <w:rPr>
          <w:rFonts w:ascii="Arial" w:hAnsi="Arial" w:cs="Arial"/>
          <w:i/>
          <w:sz w:val="18"/>
          <w:szCs w:val="24"/>
        </w:rPr>
        <w:t>Tipo de Tesis: Jurisprudencia</w:t>
      </w:r>
      <w:r>
        <w:rPr>
          <w:rFonts w:ascii="Arial" w:hAnsi="Arial" w:cs="Arial"/>
          <w:i/>
          <w:sz w:val="18"/>
          <w:szCs w:val="24"/>
        </w:rPr>
        <w:t xml:space="preserve">, </w:t>
      </w:r>
      <w:r w:rsidRPr="009600F1">
        <w:rPr>
          <w:rFonts w:ascii="Arial" w:hAnsi="Arial" w:cs="Arial"/>
          <w:i/>
          <w:sz w:val="18"/>
          <w:szCs w:val="24"/>
        </w:rPr>
        <w:t>Fuente: Semanario Judicial de la Federación</w:t>
      </w:r>
      <w:r>
        <w:rPr>
          <w:rFonts w:ascii="Arial" w:hAnsi="Arial" w:cs="Arial"/>
          <w:i/>
          <w:sz w:val="18"/>
          <w:szCs w:val="24"/>
        </w:rPr>
        <w:t xml:space="preserve">, </w:t>
      </w:r>
      <w:r w:rsidRPr="009600F1">
        <w:rPr>
          <w:rFonts w:ascii="Arial" w:hAnsi="Arial" w:cs="Arial"/>
          <w:i/>
          <w:sz w:val="18"/>
          <w:szCs w:val="24"/>
        </w:rPr>
        <w:t>Volumen 97-102, Tercera Parte</w:t>
      </w:r>
      <w:r>
        <w:rPr>
          <w:rFonts w:ascii="Arial" w:hAnsi="Arial" w:cs="Arial"/>
          <w:i/>
          <w:sz w:val="18"/>
          <w:szCs w:val="24"/>
        </w:rPr>
        <w:t xml:space="preserve">, </w:t>
      </w:r>
      <w:r w:rsidRPr="009600F1">
        <w:rPr>
          <w:rFonts w:ascii="Arial" w:hAnsi="Arial" w:cs="Arial"/>
          <w:i/>
          <w:sz w:val="18"/>
          <w:szCs w:val="24"/>
        </w:rPr>
        <w:t>Materia(s): Común</w:t>
      </w:r>
      <w:r>
        <w:rPr>
          <w:rFonts w:ascii="Arial" w:hAnsi="Arial" w:cs="Arial"/>
          <w:i/>
          <w:sz w:val="18"/>
          <w:szCs w:val="24"/>
        </w:rPr>
        <w:t xml:space="preserve">, </w:t>
      </w:r>
      <w:r w:rsidRPr="009600F1">
        <w:rPr>
          <w:rFonts w:ascii="Arial" w:hAnsi="Arial" w:cs="Arial"/>
          <w:i/>
          <w:sz w:val="18"/>
          <w:szCs w:val="24"/>
        </w:rPr>
        <w:t>Tesis: Página: 143</w:t>
      </w:r>
      <w:r>
        <w:rPr>
          <w:rFonts w:ascii="Arial" w:hAnsi="Arial" w:cs="Arial"/>
          <w:i/>
          <w:sz w:val="18"/>
          <w:szCs w:val="24"/>
        </w:rPr>
        <w:t>.</w:t>
      </w:r>
      <w:r w:rsidRPr="009600F1">
        <w:rPr>
          <w:rFonts w:ascii="Arial" w:hAnsi="Arial" w:cs="Arial"/>
          <w:i/>
          <w:sz w:val="18"/>
          <w:szCs w:val="24"/>
        </w:rPr>
        <w:t xml:space="preserve"> </w:t>
      </w:r>
    </w:p>
    <w:p w14:paraId="038283A8" w14:textId="77777777" w:rsidR="00644BE9" w:rsidRDefault="00644BE9" w:rsidP="007C0E90">
      <w:pPr>
        <w:pStyle w:val="Textonotapie"/>
      </w:pPr>
    </w:p>
  </w:footnote>
  <w:footnote w:id="54">
    <w:p w14:paraId="41017662" w14:textId="77777777" w:rsidR="00644BE9" w:rsidRPr="009E5F78" w:rsidRDefault="00644BE9" w:rsidP="007C0E90">
      <w:pPr>
        <w:spacing w:after="0" w:line="240" w:lineRule="auto"/>
        <w:jc w:val="both"/>
        <w:rPr>
          <w:rFonts w:ascii="Arial" w:hAnsi="Arial" w:cs="Arial"/>
          <w:i/>
          <w:sz w:val="18"/>
          <w:szCs w:val="24"/>
        </w:rPr>
      </w:pPr>
      <w:r w:rsidRPr="009E5F78">
        <w:rPr>
          <w:rStyle w:val="Refdenotaalpie"/>
          <w:sz w:val="20"/>
        </w:rPr>
        <w:footnoteRef/>
      </w:r>
      <w:r w:rsidRPr="009E5F78">
        <w:rPr>
          <w:sz w:val="20"/>
        </w:rPr>
        <w:t xml:space="preserve"> </w:t>
      </w:r>
      <w:r w:rsidRPr="009E5F78">
        <w:rPr>
          <w:rFonts w:ascii="Arial" w:hAnsi="Arial" w:cs="Arial"/>
          <w:i/>
          <w:sz w:val="18"/>
          <w:szCs w:val="24"/>
        </w:rPr>
        <w:t xml:space="preserve">Época: Séptima Época, Registro: 237716, Instancia: Segunda Sala, Tipo de Tesis: Jurisprudencia, Fuente: Semanario Judicial de la Federación, Volumen 151-156, Tercera Parte, Materia(s): Común, Tesis: Página: 225. </w:t>
      </w:r>
    </w:p>
    <w:p w14:paraId="702769D6" w14:textId="77777777" w:rsidR="00644BE9" w:rsidRDefault="00644BE9" w:rsidP="007C0E90">
      <w:pPr>
        <w:pStyle w:val="Textonotapie"/>
      </w:pPr>
    </w:p>
  </w:footnote>
  <w:footnote w:id="55">
    <w:p w14:paraId="6EB9F4D2" w14:textId="77777777" w:rsidR="00644BE9" w:rsidRDefault="00644BE9" w:rsidP="00E82B3F">
      <w:pPr>
        <w:pStyle w:val="Textonotapie"/>
        <w:rPr>
          <w:rStyle w:val="Hipervnculo"/>
        </w:rPr>
      </w:pPr>
      <w:r>
        <w:rPr>
          <w:rStyle w:val="Refdenotaalpie"/>
        </w:rPr>
        <w:footnoteRef/>
      </w:r>
      <w:r w:rsidRPr="008042EA">
        <w:t xml:space="preserve"> </w:t>
      </w:r>
      <w:hyperlink r:id="rId13" w:history="1">
        <w:r w:rsidRPr="008042EA">
          <w:rPr>
            <w:rStyle w:val="Hipervnculo"/>
          </w:rPr>
          <w:t>https://www.scjn.gob.mx/sites/default/files/estrado_electronico_notificaciones/documento/2018-08/SENTENCIA-EXP-VARIOS-912-2010-PLENO.pdf</w:t>
        </w:r>
      </w:hyperlink>
    </w:p>
    <w:p w14:paraId="6EF20317" w14:textId="77777777" w:rsidR="00644BE9" w:rsidRPr="008042EA" w:rsidRDefault="00644BE9" w:rsidP="00E82B3F">
      <w:pPr>
        <w:pStyle w:val="Textonotapie"/>
      </w:pPr>
    </w:p>
  </w:footnote>
  <w:footnote w:id="56">
    <w:p w14:paraId="556D6B49" w14:textId="77777777" w:rsidR="00644BE9" w:rsidRPr="008C1067" w:rsidRDefault="00644BE9" w:rsidP="00E82B3F">
      <w:pPr>
        <w:pStyle w:val="Prrafodelista"/>
        <w:spacing w:after="0" w:line="240" w:lineRule="auto"/>
        <w:ind w:left="0"/>
        <w:jc w:val="both"/>
        <w:rPr>
          <w:rFonts w:ascii="Arial" w:hAnsi="Arial" w:cs="Arial"/>
          <w:shd w:val="clear" w:color="auto" w:fill="FFFFFF"/>
        </w:rPr>
      </w:pPr>
      <w:r w:rsidRPr="008C1067">
        <w:rPr>
          <w:rStyle w:val="Refdenotaalpie"/>
        </w:rPr>
        <w:footnoteRef/>
      </w:r>
      <w:r w:rsidRPr="008C1067">
        <w:t xml:space="preserve"> </w:t>
      </w:r>
      <w:r w:rsidRPr="008C1067">
        <w:rPr>
          <w:rFonts w:ascii="Arial" w:hAnsi="Arial" w:cs="Arial"/>
          <w:shd w:val="clear" w:color="auto" w:fill="FFFFFF"/>
        </w:rPr>
        <w:t xml:space="preserve">Época: Novena Época, Registro: 160482, Instancia: Pleno, Tipo de Tesis: Aislada, Fuente: Semanario Judicial de la Federación y su Gaceta, Libro III, Diciembre de 2011, Tomo 1, Materia(s): Constitucional, Tesis: P. LXV/2011 (9a.), Página: 556. </w:t>
      </w:r>
    </w:p>
    <w:p w14:paraId="61B9B8F1" w14:textId="77777777" w:rsidR="00644BE9" w:rsidRPr="008C1067" w:rsidRDefault="00644BE9" w:rsidP="00E82B3F">
      <w:pPr>
        <w:pStyle w:val="Textonotapie"/>
        <w:rPr>
          <w:sz w:val="22"/>
          <w:szCs w:val="22"/>
        </w:rPr>
      </w:pPr>
    </w:p>
  </w:footnote>
  <w:footnote w:id="57">
    <w:p w14:paraId="2CF8E532" w14:textId="77777777" w:rsidR="00644BE9" w:rsidRPr="008C1067" w:rsidRDefault="00644BE9" w:rsidP="00E82B3F">
      <w:pPr>
        <w:pStyle w:val="Prrafodelista"/>
        <w:spacing w:after="0" w:line="240" w:lineRule="auto"/>
        <w:ind w:left="0"/>
        <w:jc w:val="both"/>
        <w:rPr>
          <w:rFonts w:ascii="Arial" w:hAnsi="Arial" w:cs="Arial"/>
          <w:shd w:val="clear" w:color="auto" w:fill="FFFFFF"/>
        </w:rPr>
      </w:pPr>
      <w:r w:rsidRPr="008C1067">
        <w:rPr>
          <w:rStyle w:val="Refdenotaalpie"/>
        </w:rPr>
        <w:footnoteRef/>
      </w:r>
      <w:r w:rsidRPr="008C1067">
        <w:t xml:space="preserve"> </w:t>
      </w:r>
      <w:r w:rsidRPr="008C1067">
        <w:rPr>
          <w:rFonts w:ascii="Arial" w:hAnsi="Arial" w:cs="Arial"/>
          <w:shd w:val="clear" w:color="auto" w:fill="FFFFFF"/>
        </w:rPr>
        <w:t>Época: Décima Época, Registro: 2006225, Instancia: Pleno, Tipo de Tesis: Jurisprudencia, Fuente: Gaceta del Semanario Judicial de la Federación, Libro 5, Abril de 2014, Tomo I, Materia(s): Común, Tesis: P</w:t>
      </w:r>
      <w:proofErr w:type="gramStart"/>
      <w:r w:rsidRPr="008C1067">
        <w:rPr>
          <w:rFonts w:ascii="Arial" w:hAnsi="Arial" w:cs="Arial"/>
          <w:shd w:val="clear" w:color="auto" w:fill="FFFFFF"/>
        </w:rPr>
        <w:t>./</w:t>
      </w:r>
      <w:proofErr w:type="gramEnd"/>
      <w:r w:rsidRPr="008C1067">
        <w:rPr>
          <w:rFonts w:ascii="Arial" w:hAnsi="Arial" w:cs="Arial"/>
          <w:shd w:val="clear" w:color="auto" w:fill="FFFFFF"/>
        </w:rPr>
        <w:t xml:space="preserve">J. 21/2014 (10a.), Página: 204. </w:t>
      </w:r>
    </w:p>
    <w:p w14:paraId="637D7B5D" w14:textId="77777777" w:rsidR="00644BE9" w:rsidRPr="008C1067" w:rsidRDefault="00644BE9" w:rsidP="00E82B3F">
      <w:pPr>
        <w:pStyle w:val="Textonotapie"/>
        <w:rPr>
          <w:sz w:val="22"/>
          <w:szCs w:val="22"/>
        </w:rPr>
      </w:pPr>
    </w:p>
  </w:footnote>
  <w:footnote w:id="58">
    <w:p w14:paraId="5FF29492" w14:textId="77777777" w:rsidR="00644BE9" w:rsidRPr="008C1067" w:rsidRDefault="00644BE9" w:rsidP="00E82B3F">
      <w:pPr>
        <w:pStyle w:val="Prrafodelista"/>
        <w:spacing w:after="0"/>
        <w:ind w:left="0"/>
        <w:jc w:val="both"/>
        <w:rPr>
          <w:rFonts w:ascii="Arial" w:hAnsi="Arial" w:cs="Arial"/>
          <w:shd w:val="clear" w:color="auto" w:fill="FFFFFF"/>
        </w:rPr>
      </w:pPr>
      <w:r w:rsidRPr="008C1067">
        <w:rPr>
          <w:rStyle w:val="Refdenotaalpie"/>
        </w:rPr>
        <w:footnoteRef/>
      </w:r>
      <w:r w:rsidRPr="008C1067">
        <w:t xml:space="preserve"> </w:t>
      </w:r>
      <w:r w:rsidRPr="008C1067">
        <w:rPr>
          <w:rFonts w:ascii="Arial" w:hAnsi="Arial" w:cs="Arial"/>
          <w:shd w:val="clear" w:color="auto" w:fill="FFFFFF"/>
        </w:rPr>
        <w:t xml:space="preserve">Época: Décima Época, Registro: 2005056, Instancia: Tribunales Colegiados de Circuito, Tipo de Tesis: Jurisprudencia, Fuente: Gaceta del Semanario Judicial de la Federación, Libro 1, Diciembre de 2013, Tomo II, Materia(s): Común, Tesis: IV.2o.A. J/7 (10a.), Página: 933. </w:t>
      </w:r>
    </w:p>
    <w:p w14:paraId="783A938E" w14:textId="77777777" w:rsidR="00644BE9" w:rsidRPr="008C1067" w:rsidRDefault="00644BE9" w:rsidP="00E82B3F">
      <w:pPr>
        <w:pStyle w:val="Textonotapie"/>
        <w:rPr>
          <w:sz w:val="22"/>
          <w:szCs w:val="22"/>
        </w:rPr>
      </w:pPr>
    </w:p>
  </w:footnote>
  <w:footnote w:id="59">
    <w:p w14:paraId="7A3BABB7" w14:textId="77777777" w:rsidR="00644BE9" w:rsidRDefault="00644BE9" w:rsidP="00E82B3F">
      <w:pPr>
        <w:pStyle w:val="Textonotapie"/>
      </w:pPr>
      <w:r>
        <w:rPr>
          <w:rStyle w:val="Refdenotaalpie"/>
        </w:rPr>
        <w:footnoteRef/>
      </w:r>
      <w:r>
        <w:t xml:space="preserve"> </w:t>
      </w:r>
      <w:hyperlink r:id="rId14" w:history="1">
        <w:r>
          <w:rPr>
            <w:rStyle w:val="Hipervnculo"/>
          </w:rPr>
          <w:t>http://www.corteidh.or.cr/docs/casos/articulos/seriec_220_esp.pdf</w:t>
        </w:r>
      </w:hyperlink>
    </w:p>
  </w:footnote>
  <w:footnote w:id="60">
    <w:p w14:paraId="5E377281" w14:textId="77777777" w:rsidR="00644BE9" w:rsidRPr="008C1067" w:rsidRDefault="00644BE9" w:rsidP="00E82B3F">
      <w:pPr>
        <w:spacing w:after="0"/>
        <w:jc w:val="both"/>
        <w:rPr>
          <w:rFonts w:ascii="Arial" w:hAnsi="Arial" w:cs="Arial"/>
          <w:i/>
          <w:iCs/>
          <w:sz w:val="20"/>
          <w:szCs w:val="20"/>
        </w:rPr>
      </w:pPr>
      <w:r w:rsidRPr="008C1067">
        <w:rPr>
          <w:rStyle w:val="Refdenotaalpie"/>
          <w:sz w:val="20"/>
          <w:szCs w:val="20"/>
        </w:rPr>
        <w:footnoteRef/>
      </w:r>
      <w:r w:rsidRPr="008C1067">
        <w:rPr>
          <w:sz w:val="20"/>
          <w:szCs w:val="20"/>
        </w:rPr>
        <w:t xml:space="preserve"> </w:t>
      </w:r>
      <w:r w:rsidRPr="008C1067">
        <w:rPr>
          <w:rFonts w:ascii="Arial" w:hAnsi="Arial" w:cs="Arial"/>
          <w:i/>
          <w:iCs/>
          <w:sz w:val="20"/>
          <w:szCs w:val="20"/>
        </w:rPr>
        <w:t xml:space="preserve">Artículo 9. La Guardia Nacional tendrá las atribuciones y obligaciones siguientes: </w:t>
      </w:r>
    </w:p>
    <w:p w14:paraId="1030B5C7"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ml:space="preserve">I. Prevenir la comisión de delitos y las faltas administrativas que determine la legislación aplicable; </w:t>
      </w:r>
    </w:p>
    <w:p w14:paraId="37BA50E3"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II. Salvaguardar la integridad de las personas y de su patrimonio; garantizar, mantener y restablecer el orden y la paz social, así como prevenir la comisión de delitos en:</w:t>
      </w:r>
    </w:p>
    <w:p w14:paraId="01BDD3C9"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ml:space="preserve"> a) Las zonas fronterizas y en la tierra firme de los litorales, la parte perteneciente al país de los pasos y puentes limítrofes, aduanas, recintos fiscales, con excepción de los marítimos, secciones aduaneras, garitas, puntos de revisión aduaneros, los centros de supervisión y control migratorio, las carreteras federales, las vías férreas, los aeropuertos, el espacio aéreo y los medios de transporte que operen en las vías generales de comunicación, así como sus servicios auxiliares; </w:t>
      </w:r>
    </w:p>
    <w:p w14:paraId="6A7265C9"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ml:space="preserve">b) La Guardia Nacional actuará en aduanas, recintos fiscales, secciones aduaneras, garitas o puntos de revisión aduaneros, en auxilio y coordinación con las autoridades responsables en materia fiscal, naval o de migración, en los términos de la presente Ley y las demás disposiciones aplicables; </w:t>
      </w:r>
    </w:p>
    <w:p w14:paraId="41B7D0D3"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ml:space="preserve">c) Los parques nacionales, las instalaciones hidráulicas y vasos de las presas, los embalses de los lagos y los cauces de los ríos; </w:t>
      </w:r>
    </w:p>
    <w:p w14:paraId="43D30259"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ml:space="preserve">d) Los espacios urbanos considerados como zonas federales, así como en los inmuebles, instalaciones y servicios de las dependencias y entidades de la Federación; </w:t>
      </w:r>
    </w:p>
    <w:p w14:paraId="110DE60E"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ml:space="preserve">e) Todos aquellos lugares, zonas o espacios del territorio nacional sujetos a la jurisdicción federal, así como las instalaciones estratégicas, conforme a lo establecido por las leyes respectivas, y </w:t>
      </w:r>
    </w:p>
    <w:p w14:paraId="5D3F52C5"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f) En todo el territorio nacional, en el ámbito de su competencia; en las zonas turísticas deberán establecerse protocolos especializados para su actuación</w:t>
      </w:r>
      <w:proofErr w:type="gramStart"/>
      <w:r w:rsidRPr="008C1067">
        <w:rPr>
          <w:rFonts w:ascii="Arial" w:hAnsi="Arial" w:cs="Arial"/>
          <w:i/>
          <w:iCs/>
          <w:sz w:val="20"/>
          <w:szCs w:val="20"/>
        </w:rPr>
        <w:t>;[</w:t>
      </w:r>
      <w:proofErr w:type="gramEnd"/>
      <w:r w:rsidRPr="008C1067">
        <w:rPr>
          <w:rFonts w:ascii="Arial" w:hAnsi="Arial" w:cs="Arial"/>
          <w:i/>
          <w:iCs/>
          <w:sz w:val="20"/>
          <w:szCs w:val="20"/>
        </w:rPr>
        <w:t>…]</w:t>
      </w:r>
    </w:p>
    <w:p w14:paraId="6157256F"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ml:space="preserve"> </w:t>
      </w:r>
    </w:p>
    <w:p w14:paraId="6743F34E"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IX. Informar a la persona, al momento de su detención, sobre los derechos que en su favor establece la Constitución Política de los Estados Unidos Mexicanos;</w:t>
      </w:r>
    </w:p>
    <w:p w14:paraId="34D9EB53"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ml:space="preserve"> X. Poner a disposición de las autoridades competentes, sin demora, a personas y bienes en los casos en que, por motivo de sus funciones, practique alguna detención o lleve a cabo algún aseguramiento de bienes, observando en todo momento el cumplimiento de los plazos establecidos en las disposiciones constitucionales y legales que resulten aplicables; […]</w:t>
      </w:r>
    </w:p>
    <w:p w14:paraId="2725AFE3" w14:textId="77777777" w:rsidR="00644BE9" w:rsidRPr="008C1067" w:rsidRDefault="00644BE9" w:rsidP="00E82B3F">
      <w:pPr>
        <w:spacing w:after="0"/>
        <w:jc w:val="both"/>
        <w:rPr>
          <w:rFonts w:ascii="Arial" w:hAnsi="Arial" w:cs="Arial"/>
          <w:i/>
          <w:iCs/>
          <w:sz w:val="20"/>
          <w:szCs w:val="20"/>
        </w:rPr>
      </w:pPr>
    </w:p>
    <w:p w14:paraId="6BD95E0C"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ml:space="preserve">[…] XIII. Realizar la detención de personas y el aseguramiento de bienes relacionados con hechos delictivos; </w:t>
      </w:r>
    </w:p>
    <w:p w14:paraId="0CF9D03F"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ml:space="preserve">XIV. Efectuar las detenciones conforme a lo dispuesto en el artículo 16 de la Constitución Política de los Estados Unidos Mexicanos y el Código Nacional de Procedimientos Penales; </w:t>
      </w:r>
    </w:p>
    <w:p w14:paraId="66B6CB4A"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XV. Realizar el registro inmediato de la detención de las personas, en los términos señalados en la ley de la materia; […]</w:t>
      </w:r>
    </w:p>
    <w:p w14:paraId="0DA1BDE3" w14:textId="77777777" w:rsidR="00644BE9" w:rsidRPr="008C1067" w:rsidRDefault="00644BE9" w:rsidP="00E82B3F">
      <w:pPr>
        <w:spacing w:after="0"/>
        <w:jc w:val="both"/>
        <w:rPr>
          <w:rFonts w:ascii="Arial" w:hAnsi="Arial" w:cs="Arial"/>
          <w:i/>
          <w:iCs/>
          <w:sz w:val="20"/>
          <w:szCs w:val="20"/>
        </w:rPr>
      </w:pPr>
    </w:p>
    <w:p w14:paraId="10FE6571"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XVI. Preservar el lugar de los hechos o del hallazgo, la integridad de los indicios, huellas o vestigios, así como los instrumentos, objetos o productos del delito, dando aviso de inmediato al Ministerio Público. Al efecto, la Guardia Nacional contará con unidades facultadas para el procesamiento del lugar de los hechos, de conformidad con el Código Nacional de Procedimientos Penales y los protocolos correspondientes;[…]</w:t>
      </w:r>
    </w:p>
    <w:p w14:paraId="0A864777" w14:textId="77777777" w:rsidR="00644BE9" w:rsidRPr="008C1067" w:rsidRDefault="00644BE9" w:rsidP="00E82B3F">
      <w:pPr>
        <w:spacing w:after="0"/>
        <w:jc w:val="both"/>
        <w:rPr>
          <w:rFonts w:ascii="Arial" w:hAnsi="Arial" w:cs="Arial"/>
          <w:i/>
          <w:iCs/>
          <w:sz w:val="20"/>
          <w:szCs w:val="20"/>
        </w:rPr>
      </w:pPr>
    </w:p>
    <w:p w14:paraId="5C706889"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XXV. Colaborar con otras autoridades federales en funciones de vigilancia, verificación e inspección que tengan conferidas por disposición de otras leyes; […]</w:t>
      </w:r>
    </w:p>
    <w:p w14:paraId="5F673479" w14:textId="77777777" w:rsidR="00644BE9" w:rsidRPr="008C1067" w:rsidRDefault="00644BE9" w:rsidP="00E82B3F">
      <w:pPr>
        <w:spacing w:after="0"/>
        <w:jc w:val="both"/>
        <w:rPr>
          <w:rFonts w:ascii="Arial" w:hAnsi="Arial" w:cs="Arial"/>
          <w:i/>
          <w:iCs/>
          <w:sz w:val="20"/>
          <w:szCs w:val="20"/>
        </w:rPr>
      </w:pPr>
    </w:p>
    <w:p w14:paraId="1554E498" w14:textId="77777777" w:rsidR="00644BE9" w:rsidRPr="002C16FA" w:rsidRDefault="00644BE9" w:rsidP="00E82B3F">
      <w:pPr>
        <w:spacing w:after="0"/>
        <w:jc w:val="both"/>
        <w:rPr>
          <w:rFonts w:ascii="Arial" w:hAnsi="Arial" w:cs="Arial"/>
          <w:i/>
          <w:iCs/>
          <w:sz w:val="18"/>
          <w:szCs w:val="18"/>
        </w:rPr>
      </w:pPr>
      <w:r w:rsidRPr="008C1067">
        <w:rPr>
          <w:rFonts w:ascii="Arial" w:hAnsi="Arial" w:cs="Arial"/>
          <w:i/>
          <w:iCs/>
          <w:sz w:val="20"/>
          <w:szCs w:val="20"/>
        </w:rPr>
        <w:t xml:space="preserve">[…] XXVII. Colaborar, cuando sea formalmente requerida, de conformidad con los ordenamientos constitucionales, legales y convenios aplicables, con las autoridades locales y municipales competentes, en la protección de la integridad física de las personas y en la preservación de sus bienes, en situaciones de peligro, cuando se vean </w:t>
      </w:r>
      <w:r w:rsidRPr="002C16FA">
        <w:rPr>
          <w:rFonts w:ascii="Arial" w:hAnsi="Arial" w:cs="Arial"/>
          <w:i/>
          <w:iCs/>
          <w:sz w:val="18"/>
          <w:szCs w:val="18"/>
        </w:rPr>
        <w:t xml:space="preserve">amenazadas por situaciones que impliquen violencia o riesgo inminente; prevenir la comisión de delitos, así como garantizar, mantener y restablecer la paz y el orden públicos; </w:t>
      </w:r>
    </w:p>
    <w:p w14:paraId="74D25E80" w14:textId="77777777" w:rsidR="00644BE9" w:rsidRPr="002C16FA" w:rsidRDefault="00644BE9" w:rsidP="00E82B3F">
      <w:pPr>
        <w:spacing w:after="0"/>
        <w:jc w:val="both"/>
        <w:rPr>
          <w:rFonts w:ascii="Arial" w:hAnsi="Arial" w:cs="Arial"/>
          <w:i/>
          <w:iCs/>
          <w:sz w:val="18"/>
          <w:szCs w:val="18"/>
        </w:rPr>
      </w:pPr>
      <w:r w:rsidRPr="002C16FA">
        <w:rPr>
          <w:rFonts w:ascii="Arial" w:hAnsi="Arial" w:cs="Arial"/>
          <w:i/>
          <w:iCs/>
          <w:sz w:val="18"/>
          <w:szCs w:val="18"/>
        </w:rPr>
        <w:t>XXVIII. Participar con otras autoridades federales, locales o municipales en operativos conjuntos que se lleven a cabo conforme a lo dispuesto en la legislación relativa al Sistema Nacional de Seguridad Pública; […]</w:t>
      </w:r>
    </w:p>
    <w:p w14:paraId="4580590C" w14:textId="77777777" w:rsidR="00644BE9" w:rsidRPr="002C16FA" w:rsidRDefault="00644BE9" w:rsidP="00E82B3F">
      <w:pPr>
        <w:spacing w:after="0"/>
        <w:jc w:val="both"/>
        <w:rPr>
          <w:rFonts w:ascii="Arial" w:hAnsi="Arial" w:cs="Arial"/>
          <w:i/>
          <w:iCs/>
          <w:sz w:val="18"/>
          <w:szCs w:val="18"/>
        </w:rPr>
      </w:pPr>
    </w:p>
    <w:p w14:paraId="67E507A2" w14:textId="77777777" w:rsidR="00644BE9" w:rsidRPr="008C1067" w:rsidRDefault="00644BE9" w:rsidP="00E82B3F">
      <w:pPr>
        <w:spacing w:after="0"/>
        <w:jc w:val="both"/>
        <w:rPr>
          <w:rFonts w:ascii="Arial" w:hAnsi="Arial" w:cs="Arial"/>
          <w:i/>
          <w:iCs/>
          <w:sz w:val="20"/>
          <w:szCs w:val="20"/>
        </w:rPr>
      </w:pPr>
      <w:r w:rsidRPr="008C1067">
        <w:rPr>
          <w:rFonts w:ascii="Arial" w:hAnsi="Arial" w:cs="Arial"/>
          <w:i/>
          <w:iCs/>
          <w:sz w:val="20"/>
          <w:szCs w:val="20"/>
        </w:rPr>
        <w:t xml:space="preserve">[…] XXXIV. Colaborar, a solicitud de las autoridades competentes, con los servicios de protección civil en casos de calamidades, situaciones de alto riesgo o desastres por causas naturales; XXXV. Realizar, en coordinación con el Instituto Nacional de Migración, la inspección de los documentos migratorios de personas extranjeras, a fin de verificar su estancia regular, con excepción de las instalaciones destinadas al tránsito internacional de personas y, en su caso, proceder a presentar a quienes se encuentren en situación irregular para los efectos previstos en la ley de la materia; XXXVI. Apoyar el aseguramiento que realice el Instituto Nacional de Migración y a petición del mismo, resguardar las estaciones migratorias y a los extranjeros que en ellas se encuentren; XXXVII. Estudiar, planificar y ejecutar los métodos y técnicas de combate a la delincuencia; […] </w:t>
      </w:r>
    </w:p>
    <w:p w14:paraId="5862CFBB" w14:textId="77777777" w:rsidR="00644BE9" w:rsidRPr="008C1067" w:rsidRDefault="00644BE9" w:rsidP="00E82B3F">
      <w:pPr>
        <w:pStyle w:val="Textonotapie"/>
      </w:pPr>
    </w:p>
  </w:footnote>
  <w:footnote w:id="61">
    <w:p w14:paraId="61C818C4" w14:textId="77777777" w:rsidR="00644BE9" w:rsidRDefault="00644BE9" w:rsidP="00E82B3F">
      <w:pPr>
        <w:pStyle w:val="Textonotapie"/>
      </w:pPr>
      <w:r>
        <w:rPr>
          <w:rStyle w:val="Refdenotaalpie"/>
        </w:rPr>
        <w:footnoteRef/>
      </w:r>
      <w:r>
        <w:t xml:space="preserve"> </w:t>
      </w:r>
      <w:hyperlink r:id="rId15" w:history="1">
        <w:r>
          <w:rPr>
            <w:rStyle w:val="Hipervnculo"/>
          </w:rPr>
          <w:t>http://www.corteidh.or.cr/docs/casos/articulos/seriec_370_esp.pdf</w:t>
        </w:r>
      </w:hyperlink>
    </w:p>
  </w:footnote>
  <w:footnote w:id="62">
    <w:p w14:paraId="546AFD41" w14:textId="77777777" w:rsidR="00644BE9" w:rsidRPr="00BD388D" w:rsidRDefault="00644BE9" w:rsidP="00E82B3F">
      <w:pPr>
        <w:pStyle w:val="Textonotapie"/>
        <w:rPr>
          <w:sz w:val="18"/>
          <w:szCs w:val="18"/>
        </w:rPr>
      </w:pPr>
      <w:r>
        <w:rPr>
          <w:rStyle w:val="Refdenotaalpie"/>
        </w:rPr>
        <w:footnoteRef/>
      </w:r>
      <w:r>
        <w:t xml:space="preserve"> </w:t>
      </w:r>
      <w:r w:rsidRPr="00BD388D">
        <w:rPr>
          <w:rFonts w:ascii="Arial" w:hAnsi="Arial" w:cs="Arial"/>
          <w:color w:val="222222"/>
          <w:sz w:val="18"/>
          <w:szCs w:val="18"/>
          <w:shd w:val="clear" w:color="auto" w:fill="FFFFFF"/>
        </w:rPr>
        <w:t>Ver esos y otros datos sobre el tema en </w:t>
      </w:r>
      <w:hyperlink r:id="rId16" w:tgtFrame="_blank" w:history="1">
        <w:r w:rsidRPr="00BD388D">
          <w:rPr>
            <w:rStyle w:val="Hipervnculo"/>
            <w:rFonts w:ascii="Arial" w:hAnsi="Arial" w:cs="Arial"/>
            <w:color w:val="800080"/>
            <w:sz w:val="18"/>
            <w:szCs w:val="18"/>
            <w:bdr w:val="none" w:sz="0" w:space="0" w:color="auto" w:frame="1"/>
            <w:shd w:val="clear" w:color="auto" w:fill="FFFFFF"/>
          </w:rPr>
          <w:t>https://www.inegi.org.mx/temas/incidencia/</w:t>
        </w:r>
      </w:hyperlink>
    </w:p>
  </w:footnote>
  <w:footnote w:id="63">
    <w:p w14:paraId="27828F97" w14:textId="77777777" w:rsidR="00644BE9" w:rsidRDefault="00644BE9" w:rsidP="00E82B3F">
      <w:pPr>
        <w:pStyle w:val="Textonotapie"/>
      </w:pPr>
      <w:r>
        <w:rPr>
          <w:rStyle w:val="Refdenotaalpie"/>
        </w:rPr>
        <w:footnoteRef/>
      </w:r>
      <w:r>
        <w:t xml:space="preserve"> </w:t>
      </w:r>
      <w:hyperlink r:id="rId17" w:history="1">
        <w:r>
          <w:rPr>
            <w:rStyle w:val="Hipervnculo"/>
          </w:rPr>
          <w:t>https://eljuegodelacorte.nexos.com.mx/?p=11524</w:t>
        </w:r>
      </w:hyperlink>
    </w:p>
  </w:footnote>
  <w:footnote w:id="64">
    <w:p w14:paraId="56CB59B0" w14:textId="77777777" w:rsidR="00644BE9" w:rsidRPr="008C1067" w:rsidRDefault="00644BE9" w:rsidP="00E82B3F">
      <w:pPr>
        <w:pStyle w:val="Textonotapie"/>
        <w:jc w:val="both"/>
        <w:rPr>
          <w:rFonts w:ascii="Arial" w:hAnsi="Arial" w:cs="Arial"/>
        </w:rPr>
      </w:pPr>
      <w:r>
        <w:rPr>
          <w:rStyle w:val="Refdenotaalpie"/>
        </w:rPr>
        <w:footnoteRef/>
      </w:r>
      <w:r>
        <w:t xml:space="preserve"> </w:t>
      </w:r>
      <w:r w:rsidRPr="008C1067">
        <w:rPr>
          <w:rFonts w:ascii="Arial" w:hAnsi="Arial" w:cs="Arial"/>
          <w:color w:val="222222"/>
          <w:shd w:val="clear" w:color="auto" w:fill="FFFFFF"/>
        </w:rPr>
        <w:t>Véase la demanda de acción de inconstitucionalidad, promovida por la CNDH el 26 de junio de 2019, a fin de controvertir diversas disposiciones de la LNUF, disponible en:</w:t>
      </w:r>
      <w:r w:rsidRPr="008C1067">
        <w:rPr>
          <w:rFonts w:ascii="Arial" w:hAnsi="Arial" w:cs="Arial"/>
        </w:rPr>
        <w:t xml:space="preserve"> </w:t>
      </w:r>
      <w:hyperlink r:id="rId18" w:history="1">
        <w:r w:rsidRPr="008C1067">
          <w:rPr>
            <w:rStyle w:val="Hipervnculo"/>
            <w:rFonts w:ascii="Arial" w:hAnsi="Arial" w:cs="Arial"/>
          </w:rPr>
          <w:t>https://www.cndh.org.mx/sites/default/files/documentos/2019-07/Acc_Inc_2016_64.pdf</w:t>
        </w:r>
      </w:hyperlink>
      <w:r w:rsidRPr="008C1067">
        <w:rPr>
          <w:rFonts w:ascii="Arial" w:hAnsi="Arial" w:cs="Arial"/>
        </w:rPr>
        <w:t>.</w:t>
      </w:r>
    </w:p>
  </w:footnote>
  <w:footnote w:id="65">
    <w:p w14:paraId="523C99DD" w14:textId="77777777" w:rsidR="00644BE9" w:rsidRPr="008C1067" w:rsidRDefault="00644BE9" w:rsidP="00E82B3F">
      <w:pPr>
        <w:pStyle w:val="Textonotapie"/>
        <w:jc w:val="both"/>
      </w:pPr>
      <w:r w:rsidRPr="008C1067">
        <w:rPr>
          <w:rStyle w:val="Refdenotaalpie"/>
        </w:rPr>
        <w:footnoteRef/>
      </w:r>
      <w:r w:rsidRPr="008C1067">
        <w:t xml:space="preserve"> </w:t>
      </w:r>
      <w:r w:rsidRPr="008C1067">
        <w:rPr>
          <w:rFonts w:ascii="Arial" w:hAnsi="Arial" w:cs="Arial"/>
          <w:color w:val="222222"/>
          <w:shd w:val="clear" w:color="auto" w:fill="FFFFFF"/>
        </w:rPr>
        <w:t xml:space="preserve">Véase, por ejemplo, las sentencias dictadas por la </w:t>
      </w:r>
      <w:proofErr w:type="spellStart"/>
      <w:r w:rsidRPr="008C1067">
        <w:rPr>
          <w:rFonts w:ascii="Arial" w:hAnsi="Arial" w:cs="Arial"/>
          <w:color w:val="222222"/>
          <w:shd w:val="clear" w:color="auto" w:fill="FFFFFF"/>
        </w:rPr>
        <w:t>CorteIDH</w:t>
      </w:r>
      <w:proofErr w:type="spellEnd"/>
      <w:r w:rsidRPr="008C1067">
        <w:rPr>
          <w:rFonts w:ascii="Arial" w:hAnsi="Arial" w:cs="Arial"/>
          <w:color w:val="222222"/>
          <w:shd w:val="clear" w:color="auto" w:fill="FFFFFF"/>
        </w:rPr>
        <w:t xml:space="preserve"> en los casos </w:t>
      </w:r>
      <w:r w:rsidRPr="008C1067">
        <w:rPr>
          <w:rStyle w:val="nfasis"/>
          <w:rFonts w:ascii="Arial" w:hAnsi="Arial" w:cs="Arial"/>
          <w:color w:val="222222"/>
          <w:bdr w:val="none" w:sz="0" w:space="0" w:color="auto" w:frame="1"/>
          <w:shd w:val="clear" w:color="auto" w:fill="FFFFFF"/>
        </w:rPr>
        <w:t>Montero Aranguren y otros (Retén de Catia )Vs. Venezuela </w:t>
      </w:r>
      <w:r w:rsidRPr="008C1067">
        <w:rPr>
          <w:rFonts w:ascii="Arial" w:hAnsi="Arial" w:cs="Arial"/>
          <w:color w:val="222222"/>
          <w:shd w:val="clear" w:color="auto" w:fill="FFFFFF"/>
        </w:rPr>
        <w:t>(párr. 78) y </w:t>
      </w:r>
      <w:proofErr w:type="spellStart"/>
      <w:r w:rsidRPr="008C1067">
        <w:rPr>
          <w:rStyle w:val="nfasis"/>
          <w:rFonts w:ascii="Arial" w:hAnsi="Arial" w:cs="Arial"/>
          <w:color w:val="222222"/>
          <w:bdr w:val="none" w:sz="0" w:space="0" w:color="auto" w:frame="1"/>
          <w:shd w:val="clear" w:color="auto" w:fill="FFFFFF"/>
        </w:rPr>
        <w:t>Nadege</w:t>
      </w:r>
      <w:proofErr w:type="spellEnd"/>
      <w:r w:rsidRPr="008C1067">
        <w:rPr>
          <w:rStyle w:val="nfasis"/>
          <w:rFonts w:ascii="Arial" w:hAnsi="Arial" w:cs="Arial"/>
          <w:color w:val="222222"/>
          <w:bdr w:val="none" w:sz="0" w:space="0" w:color="auto" w:frame="1"/>
          <w:shd w:val="clear" w:color="auto" w:fill="FFFFFF"/>
        </w:rPr>
        <w:t xml:space="preserve"> </w:t>
      </w:r>
      <w:proofErr w:type="spellStart"/>
      <w:r w:rsidRPr="008C1067">
        <w:rPr>
          <w:rStyle w:val="nfasis"/>
          <w:rFonts w:ascii="Arial" w:hAnsi="Arial" w:cs="Arial"/>
          <w:color w:val="222222"/>
          <w:bdr w:val="none" w:sz="0" w:space="0" w:color="auto" w:frame="1"/>
          <w:shd w:val="clear" w:color="auto" w:fill="FFFFFF"/>
        </w:rPr>
        <w:t>Dorzema</w:t>
      </w:r>
      <w:proofErr w:type="spellEnd"/>
      <w:r w:rsidRPr="008C1067">
        <w:rPr>
          <w:rStyle w:val="nfasis"/>
          <w:rFonts w:ascii="Arial" w:hAnsi="Arial" w:cs="Arial"/>
          <w:color w:val="222222"/>
          <w:bdr w:val="none" w:sz="0" w:space="0" w:color="auto" w:frame="1"/>
          <w:shd w:val="clear" w:color="auto" w:fill="FFFFFF"/>
        </w:rPr>
        <w:t xml:space="preserve"> y otros Vs. República Dominicana</w:t>
      </w:r>
      <w:r w:rsidRPr="008C1067">
        <w:rPr>
          <w:rFonts w:ascii="Arial" w:hAnsi="Arial" w:cs="Arial"/>
          <w:color w:val="222222"/>
          <w:shd w:val="clear" w:color="auto" w:fill="FFFFFF"/>
        </w:rPr>
        <w:t> (párr. 81); el </w:t>
      </w:r>
      <w:r w:rsidRPr="008C1067">
        <w:rPr>
          <w:rStyle w:val="nfasis"/>
          <w:rFonts w:ascii="Arial" w:hAnsi="Arial" w:cs="Arial"/>
          <w:color w:val="222222"/>
          <w:bdr w:val="none" w:sz="0" w:space="0" w:color="auto" w:frame="1"/>
          <w:shd w:val="clear" w:color="auto" w:fill="FFFFFF"/>
        </w:rPr>
        <w:t>Informe sobre seguridad ciudadana y derechos humanos</w:t>
      </w:r>
      <w:r w:rsidRPr="008C1067">
        <w:rPr>
          <w:rFonts w:ascii="Arial" w:hAnsi="Arial" w:cs="Arial"/>
          <w:color w:val="222222"/>
          <w:shd w:val="clear" w:color="auto" w:fill="FFFFFF"/>
        </w:rPr>
        <w:t>, OEA/</w:t>
      </w:r>
      <w:proofErr w:type="spellStart"/>
      <w:r w:rsidRPr="008C1067">
        <w:rPr>
          <w:rFonts w:ascii="Arial" w:hAnsi="Arial" w:cs="Arial"/>
          <w:color w:val="222222"/>
          <w:shd w:val="clear" w:color="auto" w:fill="FFFFFF"/>
        </w:rPr>
        <w:t>Ser.L</w:t>
      </w:r>
      <w:proofErr w:type="spellEnd"/>
      <w:r w:rsidRPr="008C1067">
        <w:rPr>
          <w:rFonts w:ascii="Arial" w:hAnsi="Arial" w:cs="Arial"/>
          <w:color w:val="222222"/>
          <w:shd w:val="clear" w:color="auto" w:fill="FFFFFF"/>
        </w:rPr>
        <w:t>/V/II, de la CIDH de 31 diciembre 2009 (párr. 114 y 117); el </w:t>
      </w:r>
      <w:r w:rsidRPr="008C1067">
        <w:rPr>
          <w:rStyle w:val="nfasis"/>
          <w:rFonts w:ascii="Arial" w:hAnsi="Arial" w:cs="Arial"/>
          <w:color w:val="222222"/>
          <w:bdr w:val="none" w:sz="0" w:space="0" w:color="auto" w:frame="1"/>
          <w:shd w:val="clear" w:color="auto" w:fill="FFFFFF"/>
        </w:rPr>
        <w:t>Informe del Relator Especial sobre la tortura y otros tratos o penas crueles, inhumanos o degradantes, Juan E. Méndez</w:t>
      </w:r>
      <w:r w:rsidRPr="008C1067">
        <w:rPr>
          <w:rFonts w:ascii="Arial" w:hAnsi="Arial" w:cs="Arial"/>
          <w:color w:val="222222"/>
          <w:shd w:val="clear" w:color="auto" w:fill="FFFFFF"/>
        </w:rPr>
        <w:t> del Consejo de Derechos Humanos de la ONU, de 29 de diciembre de 2014 (párr. 81); los </w:t>
      </w:r>
      <w:r w:rsidRPr="008C1067">
        <w:rPr>
          <w:rStyle w:val="nfasis"/>
          <w:rFonts w:ascii="Arial" w:hAnsi="Arial" w:cs="Arial"/>
          <w:color w:val="222222"/>
          <w:bdr w:val="none" w:sz="0" w:space="0" w:color="auto" w:frame="1"/>
          <w:shd w:val="clear" w:color="auto" w:fill="FFFFFF"/>
        </w:rPr>
        <w:t>Principios básicos sobre el empleo de la fuerza y de las armas de fuego por los funcionarios encargados de cumplir la ley</w:t>
      </w:r>
      <w:r w:rsidRPr="008C1067">
        <w:rPr>
          <w:rFonts w:ascii="Arial" w:hAnsi="Arial" w:cs="Arial"/>
          <w:color w:val="222222"/>
          <w:shd w:val="clear" w:color="auto" w:fill="FFFFFF"/>
        </w:rPr>
        <w:t>, adoptados en el Octavo Congreso de las Naciones Unidas sobre Prevención del Delito y Tratamiento del Delincuente, La Habana, Cuba, el 7 de septiembre de 1990 (disposiciones 19-209); así como la </w:t>
      </w:r>
      <w:r w:rsidRPr="008C1067">
        <w:rPr>
          <w:rStyle w:val="nfasis"/>
          <w:rFonts w:ascii="Arial" w:hAnsi="Arial" w:cs="Arial"/>
          <w:color w:val="222222"/>
          <w:bdr w:val="none" w:sz="0" w:space="0" w:color="auto" w:frame="1"/>
          <w:shd w:val="clear" w:color="auto" w:fill="FFFFFF"/>
        </w:rPr>
        <w:t>Recomendación 1713</w:t>
      </w:r>
      <w:r w:rsidRPr="008C1067">
        <w:rPr>
          <w:rFonts w:ascii="Arial" w:hAnsi="Arial" w:cs="Arial"/>
          <w:color w:val="222222"/>
          <w:shd w:val="clear" w:color="auto" w:fill="FFFFFF"/>
        </w:rPr>
        <w:t> (2005), Doc. 10977, de la Asamblea Parlamentaria del Consejo de Europa (párr. 23).</w:t>
      </w:r>
    </w:p>
  </w:footnote>
  <w:footnote w:id="66">
    <w:p w14:paraId="79E7A6D2" w14:textId="77777777" w:rsidR="00644BE9" w:rsidRPr="008C1067" w:rsidRDefault="00644BE9" w:rsidP="00E82B3F">
      <w:pPr>
        <w:pStyle w:val="Textonotapie"/>
      </w:pPr>
      <w:r w:rsidRPr="008C1067">
        <w:rPr>
          <w:rStyle w:val="Refdenotaalpie"/>
        </w:rPr>
        <w:footnoteRef/>
      </w:r>
      <w:hyperlink r:id="rId19" w:history="1">
        <w:r w:rsidRPr="008C1067">
          <w:rPr>
            <w:rStyle w:val="Hipervnculo"/>
          </w:rPr>
          <w:t>https://www.nexos.com.mx/?p=48138&amp;fbclid=IwAR3y9hpZlU5CWdmhzn14331CQobA9YVhlPdwf7pGuRGoV9Sx7x8LIg4UX4c</w:t>
        </w:r>
      </w:hyperlink>
    </w:p>
  </w:footnote>
  <w:footnote w:id="67">
    <w:p w14:paraId="46F7C9F0" w14:textId="77777777" w:rsidR="00644BE9" w:rsidRPr="008C1067" w:rsidRDefault="00644BE9" w:rsidP="00E82B3F">
      <w:pPr>
        <w:pStyle w:val="Textonotapie"/>
      </w:pPr>
      <w:r w:rsidRPr="008C1067">
        <w:rPr>
          <w:rStyle w:val="Refdenotaalpie"/>
        </w:rPr>
        <w:footnoteRef/>
      </w:r>
      <w:r w:rsidRPr="008C1067">
        <w:t xml:space="preserve"> </w:t>
      </w:r>
      <w:hyperlink r:id="rId20" w:history="1">
        <w:r w:rsidRPr="008C1067">
          <w:rPr>
            <w:rStyle w:val="Hipervnculo"/>
          </w:rPr>
          <w:t>https://eljuegodelacorte.nexos.com.mx/?p=11524</w:t>
        </w:r>
      </w:hyperlink>
    </w:p>
  </w:footnote>
  <w:footnote w:id="68">
    <w:p w14:paraId="6A3476FF" w14:textId="77777777" w:rsidR="00644BE9" w:rsidRDefault="00644BE9" w:rsidP="00F53D61">
      <w:pPr>
        <w:pStyle w:val="Textonotapie"/>
        <w:rPr>
          <w:rFonts w:ascii="Arial" w:hAnsi="Arial" w:cs="Arial"/>
          <w:sz w:val="24"/>
          <w:szCs w:val="24"/>
          <w:shd w:val="clear" w:color="auto" w:fill="FFFFFF"/>
        </w:rPr>
      </w:pPr>
      <w:r>
        <w:rPr>
          <w:rStyle w:val="Refdenotaalpie"/>
        </w:rPr>
        <w:footnoteRef/>
      </w:r>
      <w:r>
        <w:t xml:space="preserve"> </w:t>
      </w:r>
      <w:r w:rsidRPr="00F53D61">
        <w:rPr>
          <w:rFonts w:ascii="Arial" w:hAnsi="Arial" w:cs="Arial"/>
          <w:sz w:val="24"/>
          <w:szCs w:val="24"/>
          <w:shd w:val="clear" w:color="auto" w:fill="FFFFFF"/>
        </w:rPr>
        <w:t>Registro digital: 191452</w:t>
      </w:r>
    </w:p>
    <w:p w14:paraId="79C5F18B" w14:textId="77777777" w:rsidR="00644BE9" w:rsidRDefault="00644BE9" w:rsidP="00F53D61">
      <w:pPr>
        <w:pStyle w:val="Textonotapie"/>
      </w:pPr>
    </w:p>
  </w:footnote>
  <w:footnote w:id="69">
    <w:p w14:paraId="3C469978" w14:textId="77777777" w:rsidR="00644BE9" w:rsidRDefault="00644BE9" w:rsidP="001A1EEF">
      <w:pPr>
        <w:pStyle w:val="Textonotapie"/>
      </w:pPr>
      <w:r>
        <w:rPr>
          <w:rStyle w:val="Refdenotaalpie"/>
        </w:rPr>
        <w:footnoteRef/>
      </w:r>
      <w:r>
        <w:t xml:space="preserve"> </w:t>
      </w:r>
      <w:hyperlink r:id="rId21" w:history="1">
        <w:r w:rsidRPr="00DD0F78">
          <w:rPr>
            <w:rStyle w:val="Hipervnculo"/>
          </w:rPr>
          <w:t>https://frena.com.mx/2022/10/09/mexico-harto-de-mentiras-corrupcion-y-traiciones-de-la-bestia/</w:t>
        </w:r>
      </w:hyperlink>
    </w:p>
    <w:p w14:paraId="7B7A64F6" w14:textId="77777777" w:rsidR="00644BE9" w:rsidRDefault="00644BE9" w:rsidP="001A1EEF">
      <w:pPr>
        <w:pStyle w:val="Textonotapie"/>
      </w:pPr>
    </w:p>
  </w:footnote>
  <w:footnote w:id="70">
    <w:p w14:paraId="34C2F79B" w14:textId="35772250" w:rsidR="00644BE9" w:rsidRPr="008C1067" w:rsidRDefault="00644BE9" w:rsidP="00151B58">
      <w:pPr>
        <w:spacing w:after="0" w:line="240" w:lineRule="auto"/>
        <w:ind w:firstLine="708"/>
        <w:jc w:val="both"/>
        <w:rPr>
          <w:rFonts w:ascii="Arial" w:hAnsi="Arial" w:cs="Arial"/>
          <w:sz w:val="18"/>
          <w:szCs w:val="18"/>
        </w:rPr>
      </w:pPr>
      <w:r w:rsidRPr="008C1067">
        <w:rPr>
          <w:rStyle w:val="Refdenotaalpie"/>
          <w:sz w:val="18"/>
          <w:szCs w:val="18"/>
        </w:rPr>
        <w:footnoteRef/>
      </w:r>
      <w:r w:rsidRPr="008C1067">
        <w:rPr>
          <w:sz w:val="18"/>
          <w:szCs w:val="18"/>
        </w:rPr>
        <w:t xml:space="preserve"> </w:t>
      </w:r>
      <w:r w:rsidRPr="008C1067">
        <w:rPr>
          <w:rFonts w:ascii="Arial" w:hAnsi="Arial" w:cs="Arial"/>
          <w:sz w:val="18"/>
          <w:szCs w:val="18"/>
        </w:rPr>
        <w:t>Época: Décima Época, Registro: 2021283, Instancia: Tribunales Colegiados de Circuito, Tipo de Tesis: Aislada, Fuente: Gaceta del Semanario Judicial de la Federación, Libro 73, Diciembre de 2019, Tomo II, Materia(s): Común, Civil, Tesis: I.9o.C.50 C (10a.), Página: 1099.</w:t>
      </w:r>
    </w:p>
    <w:p w14:paraId="3FBC4B7F" w14:textId="36A1BA18" w:rsidR="00644BE9" w:rsidRPr="008C1067" w:rsidRDefault="00644BE9">
      <w:pPr>
        <w:pStyle w:val="Textonotapie"/>
        <w:rPr>
          <w:sz w:val="18"/>
          <w:szCs w:val="18"/>
        </w:rPr>
      </w:pPr>
    </w:p>
  </w:footnote>
  <w:footnote w:id="71">
    <w:p w14:paraId="31B245A0" w14:textId="7551687E" w:rsidR="00644BE9" w:rsidRPr="008C1067" w:rsidRDefault="00644BE9" w:rsidP="00151B58">
      <w:pPr>
        <w:spacing w:after="0" w:line="240" w:lineRule="auto"/>
        <w:ind w:firstLine="708"/>
        <w:jc w:val="both"/>
        <w:rPr>
          <w:rFonts w:ascii="Arial" w:hAnsi="Arial" w:cs="Arial"/>
          <w:sz w:val="18"/>
          <w:szCs w:val="18"/>
        </w:rPr>
      </w:pPr>
      <w:r w:rsidRPr="008C1067">
        <w:rPr>
          <w:rStyle w:val="Refdenotaalpie"/>
          <w:sz w:val="18"/>
          <w:szCs w:val="18"/>
        </w:rPr>
        <w:footnoteRef/>
      </w:r>
      <w:r w:rsidRPr="008C1067">
        <w:rPr>
          <w:sz w:val="18"/>
          <w:szCs w:val="18"/>
        </w:rPr>
        <w:t xml:space="preserve"> </w:t>
      </w:r>
      <w:r w:rsidRPr="008C1067">
        <w:rPr>
          <w:rFonts w:ascii="Arial" w:hAnsi="Arial" w:cs="Arial"/>
          <w:sz w:val="18"/>
          <w:szCs w:val="18"/>
        </w:rPr>
        <w:t>Época: Novena Época, Registro: 197007, Instancia: Tribunales Colegiados de Circuito, Tipo de Tesis: Aislada, Fuente: Semanario Judicial de la Federación y su Gaceta, Tomo VII, Enero de 1998, Materia(s): Común, Tesis: X.1o.19 K, Página: 1179.</w:t>
      </w:r>
    </w:p>
    <w:p w14:paraId="08671647" w14:textId="1F25DC0D" w:rsidR="00644BE9" w:rsidRPr="008C1067" w:rsidRDefault="00644BE9" w:rsidP="00151B58">
      <w:pPr>
        <w:pStyle w:val="Textonotapie"/>
        <w:jc w:val="both"/>
        <w:rPr>
          <w:sz w:val="18"/>
          <w:szCs w:val="18"/>
        </w:rPr>
      </w:pPr>
    </w:p>
  </w:footnote>
  <w:footnote w:id="72">
    <w:p w14:paraId="6B835033" w14:textId="12915888" w:rsidR="00644BE9" w:rsidRPr="008C1067" w:rsidRDefault="00644BE9" w:rsidP="00533FF8">
      <w:pPr>
        <w:spacing w:after="0" w:line="240" w:lineRule="auto"/>
        <w:ind w:firstLine="708"/>
        <w:jc w:val="both"/>
        <w:rPr>
          <w:rFonts w:ascii="Arial" w:hAnsi="Arial" w:cs="Arial"/>
          <w:sz w:val="18"/>
          <w:szCs w:val="18"/>
        </w:rPr>
      </w:pPr>
      <w:r w:rsidRPr="008C1067">
        <w:rPr>
          <w:rStyle w:val="Refdenotaalpie"/>
          <w:sz w:val="18"/>
          <w:szCs w:val="18"/>
        </w:rPr>
        <w:footnoteRef/>
      </w:r>
      <w:r w:rsidRPr="008C1067">
        <w:rPr>
          <w:sz w:val="18"/>
          <w:szCs w:val="18"/>
        </w:rPr>
        <w:t xml:space="preserve"> </w:t>
      </w:r>
      <w:r w:rsidRPr="008C1067">
        <w:rPr>
          <w:rFonts w:ascii="Arial" w:hAnsi="Arial" w:cs="Arial"/>
          <w:sz w:val="18"/>
          <w:szCs w:val="18"/>
        </w:rPr>
        <w:t xml:space="preserve">Época: Novena Época, Registro: 201018, Instancia: Tribunales Colegiados de Circuito, Tipo de Tesis: Aislada, Fuente: Semanario Judicial de la Federación y su Gaceta, Tomo IV, Noviembre de 1996, Materia(s): Administrativa, Tesis: XIV.2o.4 A, Página: 524. </w:t>
      </w:r>
    </w:p>
    <w:p w14:paraId="3C502511" w14:textId="27A89F74" w:rsidR="00644BE9" w:rsidRPr="008C1067" w:rsidRDefault="00644BE9">
      <w:pPr>
        <w:pStyle w:val="Textonotapie"/>
        <w:rPr>
          <w:sz w:val="18"/>
          <w:szCs w:val="18"/>
        </w:rPr>
      </w:pPr>
    </w:p>
  </w:footnote>
  <w:footnote w:id="73">
    <w:p w14:paraId="36A44B63" w14:textId="77777777" w:rsidR="00644BE9" w:rsidRPr="0069182C" w:rsidRDefault="00644BE9" w:rsidP="009E087F">
      <w:pPr>
        <w:spacing w:after="0" w:line="240" w:lineRule="auto"/>
        <w:jc w:val="both"/>
        <w:rPr>
          <w:rFonts w:ascii="Arial" w:hAnsi="Arial" w:cs="Arial"/>
          <w:sz w:val="20"/>
          <w:szCs w:val="20"/>
        </w:rPr>
      </w:pPr>
      <w:r w:rsidRPr="0069182C">
        <w:rPr>
          <w:rStyle w:val="Refdenotaalpie"/>
          <w:rFonts w:ascii="Arial" w:hAnsi="Arial" w:cs="Arial"/>
          <w:sz w:val="20"/>
          <w:szCs w:val="20"/>
        </w:rPr>
        <w:footnoteRef/>
      </w:r>
      <w:r w:rsidRPr="0069182C">
        <w:rPr>
          <w:rFonts w:ascii="Arial" w:hAnsi="Arial" w:cs="Arial"/>
          <w:sz w:val="20"/>
          <w:szCs w:val="20"/>
        </w:rPr>
        <w:t xml:space="preserve"> Época: Décima Época, Registro: 2003881, Instancia: Tribunales Colegiados de Circuito, Tipo de Tesis: Aislada, Fuente: Semanario Judicial de la Federación y su Gaceta, Libro XXI, Junio de 2013, Tomo 2 </w:t>
      </w:r>
    </w:p>
    <w:p w14:paraId="57ECF865" w14:textId="77777777" w:rsidR="00644BE9" w:rsidRPr="0069182C" w:rsidRDefault="00644BE9" w:rsidP="009E087F">
      <w:pPr>
        <w:spacing w:after="0" w:line="240" w:lineRule="auto"/>
        <w:jc w:val="both"/>
        <w:rPr>
          <w:rFonts w:ascii="Arial" w:hAnsi="Arial" w:cs="Arial"/>
          <w:sz w:val="20"/>
          <w:szCs w:val="20"/>
        </w:rPr>
      </w:pPr>
      <w:r w:rsidRPr="0069182C">
        <w:rPr>
          <w:rFonts w:ascii="Arial" w:hAnsi="Arial" w:cs="Arial"/>
          <w:sz w:val="20"/>
          <w:szCs w:val="20"/>
        </w:rPr>
        <w:t xml:space="preserve">Materia(s): Constitucional, Común, Tesis: IV.2o.A.15 K (10a.), Página: 1289. </w:t>
      </w:r>
    </w:p>
    <w:p w14:paraId="390215F4" w14:textId="77777777" w:rsidR="00644BE9" w:rsidRPr="0069182C" w:rsidRDefault="00644BE9" w:rsidP="009E087F">
      <w:pPr>
        <w:pStyle w:val="Textonotapie"/>
        <w:rPr>
          <w:rFonts w:ascii="Arial" w:hAnsi="Arial" w:cs="Arial"/>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175F4"/>
    <w:multiLevelType w:val="hybridMultilevel"/>
    <w:tmpl w:val="F1000C6E"/>
    <w:lvl w:ilvl="0" w:tplc="4ACCC74A">
      <w:start w:val="3"/>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20F260B"/>
    <w:multiLevelType w:val="hybridMultilevel"/>
    <w:tmpl w:val="54B62670"/>
    <w:lvl w:ilvl="0" w:tplc="E5B88878">
      <w:start w:val="1"/>
      <w:numFmt w:val="lowerRoman"/>
      <w:lvlText w:val="%1."/>
      <w:lvlJc w:val="right"/>
      <w:pPr>
        <w:ind w:left="1068" w:hanging="360"/>
      </w:pPr>
      <w:rPr>
        <w:i/>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nsid w:val="064817AF"/>
    <w:multiLevelType w:val="hybridMultilevel"/>
    <w:tmpl w:val="D7E4F0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77427DF"/>
    <w:multiLevelType w:val="hybridMultilevel"/>
    <w:tmpl w:val="C382E64E"/>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
    <w:nsid w:val="099246CC"/>
    <w:multiLevelType w:val="hybridMultilevel"/>
    <w:tmpl w:val="FF2A96DE"/>
    <w:lvl w:ilvl="0" w:tplc="D9005ED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3D75BA1"/>
    <w:multiLevelType w:val="hybridMultilevel"/>
    <w:tmpl w:val="075803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92B3287"/>
    <w:multiLevelType w:val="hybridMultilevel"/>
    <w:tmpl w:val="C8E240DA"/>
    <w:lvl w:ilvl="0" w:tplc="66E4C510">
      <w:start w:val="5"/>
      <w:numFmt w:val="decimal"/>
      <w:lvlText w:val="%1)"/>
      <w:lvlJc w:val="left"/>
      <w:pPr>
        <w:ind w:left="1065" w:hanging="360"/>
      </w:pPr>
      <w:rPr>
        <w:rFonts w:hint="default"/>
        <w:b/>
        <w:bCs/>
      </w:rPr>
    </w:lvl>
    <w:lvl w:ilvl="1" w:tplc="080A0019">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7">
    <w:nsid w:val="1BB4750D"/>
    <w:multiLevelType w:val="hybridMultilevel"/>
    <w:tmpl w:val="144CFE28"/>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D1A184A"/>
    <w:multiLevelType w:val="hybridMultilevel"/>
    <w:tmpl w:val="0CC07D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DB67375"/>
    <w:multiLevelType w:val="hybridMultilevel"/>
    <w:tmpl w:val="99EC895C"/>
    <w:lvl w:ilvl="0" w:tplc="D32014BA">
      <w:start w:val="1"/>
      <w:numFmt w:val="low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10">
    <w:nsid w:val="1E821066"/>
    <w:multiLevelType w:val="hybridMultilevel"/>
    <w:tmpl w:val="B890E106"/>
    <w:lvl w:ilvl="0" w:tplc="45A8AAB0">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1">
    <w:nsid w:val="20D0150E"/>
    <w:multiLevelType w:val="hybridMultilevel"/>
    <w:tmpl w:val="1B76F208"/>
    <w:lvl w:ilvl="0" w:tplc="29E48C68">
      <w:start w:val="1"/>
      <w:numFmt w:val="lowerRoman"/>
      <w:lvlText w:val="%1)"/>
      <w:lvlJc w:val="left"/>
      <w:pPr>
        <w:ind w:left="1425" w:hanging="72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12">
    <w:nsid w:val="21B0249E"/>
    <w:multiLevelType w:val="hybridMultilevel"/>
    <w:tmpl w:val="799A81E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3">
    <w:nsid w:val="227C2431"/>
    <w:multiLevelType w:val="hybridMultilevel"/>
    <w:tmpl w:val="92BA6106"/>
    <w:lvl w:ilvl="0" w:tplc="9C90AE8A">
      <w:start w:val="5"/>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
    <w:nsid w:val="27936AEC"/>
    <w:multiLevelType w:val="hybridMultilevel"/>
    <w:tmpl w:val="F768080E"/>
    <w:lvl w:ilvl="0" w:tplc="3E6662AC">
      <w:start w:val="1"/>
      <w:numFmt w:val="lowerLetter"/>
      <w:lvlText w:val="%1)"/>
      <w:lvlJc w:val="left"/>
      <w:pPr>
        <w:ind w:left="928" w:hanging="360"/>
      </w:pPr>
      <w:rPr>
        <w:rFonts w:hint="default"/>
        <w:b/>
        <w:bCs w:val="0"/>
      </w:rPr>
    </w:lvl>
    <w:lvl w:ilvl="1" w:tplc="080A0019" w:tentative="1">
      <w:start w:val="1"/>
      <w:numFmt w:val="lowerLetter"/>
      <w:lvlText w:val="%2."/>
      <w:lvlJc w:val="left"/>
      <w:pPr>
        <w:ind w:left="1648" w:hanging="360"/>
      </w:pPr>
    </w:lvl>
    <w:lvl w:ilvl="2" w:tplc="080A001B" w:tentative="1">
      <w:start w:val="1"/>
      <w:numFmt w:val="lowerRoman"/>
      <w:lvlText w:val="%3."/>
      <w:lvlJc w:val="right"/>
      <w:pPr>
        <w:ind w:left="2368" w:hanging="180"/>
      </w:pPr>
    </w:lvl>
    <w:lvl w:ilvl="3" w:tplc="080A000F" w:tentative="1">
      <w:start w:val="1"/>
      <w:numFmt w:val="decimal"/>
      <w:lvlText w:val="%4."/>
      <w:lvlJc w:val="left"/>
      <w:pPr>
        <w:ind w:left="3088" w:hanging="360"/>
      </w:pPr>
    </w:lvl>
    <w:lvl w:ilvl="4" w:tplc="080A0019" w:tentative="1">
      <w:start w:val="1"/>
      <w:numFmt w:val="lowerLetter"/>
      <w:lvlText w:val="%5."/>
      <w:lvlJc w:val="left"/>
      <w:pPr>
        <w:ind w:left="3808" w:hanging="360"/>
      </w:pPr>
    </w:lvl>
    <w:lvl w:ilvl="5" w:tplc="080A001B" w:tentative="1">
      <w:start w:val="1"/>
      <w:numFmt w:val="lowerRoman"/>
      <w:lvlText w:val="%6."/>
      <w:lvlJc w:val="right"/>
      <w:pPr>
        <w:ind w:left="4528" w:hanging="180"/>
      </w:pPr>
    </w:lvl>
    <w:lvl w:ilvl="6" w:tplc="080A000F" w:tentative="1">
      <w:start w:val="1"/>
      <w:numFmt w:val="decimal"/>
      <w:lvlText w:val="%7."/>
      <w:lvlJc w:val="left"/>
      <w:pPr>
        <w:ind w:left="5248" w:hanging="360"/>
      </w:pPr>
    </w:lvl>
    <w:lvl w:ilvl="7" w:tplc="080A0019" w:tentative="1">
      <w:start w:val="1"/>
      <w:numFmt w:val="lowerLetter"/>
      <w:lvlText w:val="%8."/>
      <w:lvlJc w:val="left"/>
      <w:pPr>
        <w:ind w:left="5968" w:hanging="360"/>
      </w:pPr>
    </w:lvl>
    <w:lvl w:ilvl="8" w:tplc="080A001B" w:tentative="1">
      <w:start w:val="1"/>
      <w:numFmt w:val="lowerRoman"/>
      <w:lvlText w:val="%9."/>
      <w:lvlJc w:val="right"/>
      <w:pPr>
        <w:ind w:left="6688" w:hanging="180"/>
      </w:pPr>
    </w:lvl>
  </w:abstractNum>
  <w:abstractNum w:abstractNumId="15">
    <w:nsid w:val="287A1366"/>
    <w:multiLevelType w:val="hybridMultilevel"/>
    <w:tmpl w:val="348682D0"/>
    <w:lvl w:ilvl="0" w:tplc="8C401350">
      <w:start w:val="1"/>
      <w:numFmt w:val="decimal"/>
      <w:lvlText w:val="%1."/>
      <w:lvlJc w:val="left"/>
      <w:pPr>
        <w:ind w:left="1200" w:hanging="48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nsid w:val="2C3A6C51"/>
    <w:multiLevelType w:val="hybridMultilevel"/>
    <w:tmpl w:val="8C8A2CAC"/>
    <w:lvl w:ilvl="0" w:tplc="931E81E4">
      <w:start w:val="1"/>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nsid w:val="2EF94685"/>
    <w:multiLevelType w:val="hybridMultilevel"/>
    <w:tmpl w:val="5A328DC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8">
    <w:nsid w:val="31775C3D"/>
    <w:multiLevelType w:val="hybridMultilevel"/>
    <w:tmpl w:val="5E184D9A"/>
    <w:lvl w:ilvl="0" w:tplc="D1AC5EAC">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514762A"/>
    <w:multiLevelType w:val="hybridMultilevel"/>
    <w:tmpl w:val="0B144A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87E7B2D"/>
    <w:multiLevelType w:val="hybridMultilevel"/>
    <w:tmpl w:val="613EE6B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1">
    <w:nsid w:val="39A52D82"/>
    <w:multiLevelType w:val="hybridMultilevel"/>
    <w:tmpl w:val="49B868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39E428ED"/>
    <w:multiLevelType w:val="hybridMultilevel"/>
    <w:tmpl w:val="9C528E70"/>
    <w:lvl w:ilvl="0" w:tplc="DD209FA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0385803"/>
    <w:multiLevelType w:val="hybridMultilevel"/>
    <w:tmpl w:val="FDE4C12A"/>
    <w:lvl w:ilvl="0" w:tplc="A912A63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41E70AF9"/>
    <w:multiLevelType w:val="hybridMultilevel"/>
    <w:tmpl w:val="D08ABC7A"/>
    <w:lvl w:ilvl="0" w:tplc="3378EDA8">
      <w:start w:val="1"/>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5">
    <w:nsid w:val="453701D2"/>
    <w:multiLevelType w:val="hybridMultilevel"/>
    <w:tmpl w:val="5B1E028C"/>
    <w:lvl w:ilvl="0" w:tplc="56B6F72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6">
    <w:nsid w:val="45DC454D"/>
    <w:multiLevelType w:val="hybridMultilevel"/>
    <w:tmpl w:val="1756A244"/>
    <w:lvl w:ilvl="0" w:tplc="0104302A">
      <w:start w:val="1"/>
      <w:numFmt w:val="upperRoman"/>
      <w:lvlText w:val="%1."/>
      <w:lvlJc w:val="left"/>
      <w:pPr>
        <w:ind w:left="1476" w:hanging="720"/>
      </w:pPr>
      <w:rPr>
        <w:rFonts w:hint="default"/>
      </w:rPr>
    </w:lvl>
    <w:lvl w:ilvl="1" w:tplc="080A0019" w:tentative="1">
      <w:start w:val="1"/>
      <w:numFmt w:val="lowerLetter"/>
      <w:lvlText w:val="%2."/>
      <w:lvlJc w:val="left"/>
      <w:pPr>
        <w:ind w:left="1836" w:hanging="360"/>
      </w:pPr>
    </w:lvl>
    <w:lvl w:ilvl="2" w:tplc="080A001B" w:tentative="1">
      <w:start w:val="1"/>
      <w:numFmt w:val="lowerRoman"/>
      <w:lvlText w:val="%3."/>
      <w:lvlJc w:val="right"/>
      <w:pPr>
        <w:ind w:left="2556" w:hanging="180"/>
      </w:pPr>
    </w:lvl>
    <w:lvl w:ilvl="3" w:tplc="080A000F" w:tentative="1">
      <w:start w:val="1"/>
      <w:numFmt w:val="decimal"/>
      <w:lvlText w:val="%4."/>
      <w:lvlJc w:val="left"/>
      <w:pPr>
        <w:ind w:left="3276" w:hanging="360"/>
      </w:pPr>
    </w:lvl>
    <w:lvl w:ilvl="4" w:tplc="080A0019" w:tentative="1">
      <w:start w:val="1"/>
      <w:numFmt w:val="lowerLetter"/>
      <w:lvlText w:val="%5."/>
      <w:lvlJc w:val="left"/>
      <w:pPr>
        <w:ind w:left="3996" w:hanging="360"/>
      </w:pPr>
    </w:lvl>
    <w:lvl w:ilvl="5" w:tplc="080A001B" w:tentative="1">
      <w:start w:val="1"/>
      <w:numFmt w:val="lowerRoman"/>
      <w:lvlText w:val="%6."/>
      <w:lvlJc w:val="right"/>
      <w:pPr>
        <w:ind w:left="4716" w:hanging="180"/>
      </w:pPr>
    </w:lvl>
    <w:lvl w:ilvl="6" w:tplc="080A000F" w:tentative="1">
      <w:start w:val="1"/>
      <w:numFmt w:val="decimal"/>
      <w:lvlText w:val="%7."/>
      <w:lvlJc w:val="left"/>
      <w:pPr>
        <w:ind w:left="5436" w:hanging="360"/>
      </w:pPr>
    </w:lvl>
    <w:lvl w:ilvl="7" w:tplc="080A0019" w:tentative="1">
      <w:start w:val="1"/>
      <w:numFmt w:val="lowerLetter"/>
      <w:lvlText w:val="%8."/>
      <w:lvlJc w:val="left"/>
      <w:pPr>
        <w:ind w:left="6156" w:hanging="360"/>
      </w:pPr>
    </w:lvl>
    <w:lvl w:ilvl="8" w:tplc="080A001B" w:tentative="1">
      <w:start w:val="1"/>
      <w:numFmt w:val="lowerRoman"/>
      <w:lvlText w:val="%9."/>
      <w:lvlJc w:val="right"/>
      <w:pPr>
        <w:ind w:left="6876" w:hanging="180"/>
      </w:pPr>
    </w:lvl>
  </w:abstractNum>
  <w:abstractNum w:abstractNumId="27">
    <w:nsid w:val="4AE57181"/>
    <w:multiLevelType w:val="hybridMultilevel"/>
    <w:tmpl w:val="ACE2D336"/>
    <w:lvl w:ilvl="0" w:tplc="7B8E87EA">
      <w:start w:val="1"/>
      <w:numFmt w:val="lowerRoman"/>
      <w:lvlText w:val="%1."/>
      <w:lvlJc w:val="left"/>
      <w:pPr>
        <w:ind w:left="1515" w:hanging="720"/>
      </w:pPr>
      <w:rPr>
        <w:rFonts w:hint="default"/>
        <w:i/>
      </w:rPr>
    </w:lvl>
    <w:lvl w:ilvl="1" w:tplc="080A0019" w:tentative="1">
      <w:start w:val="1"/>
      <w:numFmt w:val="lowerLetter"/>
      <w:lvlText w:val="%2."/>
      <w:lvlJc w:val="left"/>
      <w:pPr>
        <w:ind w:left="1875" w:hanging="360"/>
      </w:pPr>
    </w:lvl>
    <w:lvl w:ilvl="2" w:tplc="080A001B" w:tentative="1">
      <w:start w:val="1"/>
      <w:numFmt w:val="lowerRoman"/>
      <w:lvlText w:val="%3."/>
      <w:lvlJc w:val="right"/>
      <w:pPr>
        <w:ind w:left="2595" w:hanging="180"/>
      </w:pPr>
    </w:lvl>
    <w:lvl w:ilvl="3" w:tplc="080A000F" w:tentative="1">
      <w:start w:val="1"/>
      <w:numFmt w:val="decimal"/>
      <w:lvlText w:val="%4."/>
      <w:lvlJc w:val="left"/>
      <w:pPr>
        <w:ind w:left="3315" w:hanging="360"/>
      </w:pPr>
    </w:lvl>
    <w:lvl w:ilvl="4" w:tplc="080A0019" w:tentative="1">
      <w:start w:val="1"/>
      <w:numFmt w:val="lowerLetter"/>
      <w:lvlText w:val="%5."/>
      <w:lvlJc w:val="left"/>
      <w:pPr>
        <w:ind w:left="4035" w:hanging="360"/>
      </w:pPr>
    </w:lvl>
    <w:lvl w:ilvl="5" w:tplc="080A001B" w:tentative="1">
      <w:start w:val="1"/>
      <w:numFmt w:val="lowerRoman"/>
      <w:lvlText w:val="%6."/>
      <w:lvlJc w:val="right"/>
      <w:pPr>
        <w:ind w:left="4755" w:hanging="180"/>
      </w:pPr>
    </w:lvl>
    <w:lvl w:ilvl="6" w:tplc="080A000F" w:tentative="1">
      <w:start w:val="1"/>
      <w:numFmt w:val="decimal"/>
      <w:lvlText w:val="%7."/>
      <w:lvlJc w:val="left"/>
      <w:pPr>
        <w:ind w:left="5475" w:hanging="360"/>
      </w:pPr>
    </w:lvl>
    <w:lvl w:ilvl="7" w:tplc="080A0019" w:tentative="1">
      <w:start w:val="1"/>
      <w:numFmt w:val="lowerLetter"/>
      <w:lvlText w:val="%8."/>
      <w:lvlJc w:val="left"/>
      <w:pPr>
        <w:ind w:left="6195" w:hanging="360"/>
      </w:pPr>
    </w:lvl>
    <w:lvl w:ilvl="8" w:tplc="080A001B" w:tentative="1">
      <w:start w:val="1"/>
      <w:numFmt w:val="lowerRoman"/>
      <w:lvlText w:val="%9."/>
      <w:lvlJc w:val="right"/>
      <w:pPr>
        <w:ind w:left="6915" w:hanging="180"/>
      </w:pPr>
    </w:lvl>
  </w:abstractNum>
  <w:abstractNum w:abstractNumId="28">
    <w:nsid w:val="509935D0"/>
    <w:multiLevelType w:val="hybridMultilevel"/>
    <w:tmpl w:val="6584F66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55F571C8"/>
    <w:multiLevelType w:val="hybridMultilevel"/>
    <w:tmpl w:val="A71EB018"/>
    <w:lvl w:ilvl="0" w:tplc="5AE0CD62">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5B952467"/>
    <w:multiLevelType w:val="hybridMultilevel"/>
    <w:tmpl w:val="074A0604"/>
    <w:lvl w:ilvl="0" w:tplc="49C2F01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1">
    <w:nsid w:val="5C916201"/>
    <w:multiLevelType w:val="hybridMultilevel"/>
    <w:tmpl w:val="EC88C4BC"/>
    <w:lvl w:ilvl="0" w:tplc="402C4922">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2">
    <w:nsid w:val="5D1D75AA"/>
    <w:multiLevelType w:val="hybridMultilevel"/>
    <w:tmpl w:val="1AB84E84"/>
    <w:lvl w:ilvl="0" w:tplc="631824E0">
      <w:start w:val="1"/>
      <w:numFmt w:val="decimal"/>
      <w:lvlText w:val="%1)"/>
      <w:lvlJc w:val="left"/>
      <w:pPr>
        <w:ind w:left="1065" w:hanging="360"/>
      </w:pPr>
      <w:rPr>
        <w:rFonts w:hint="default"/>
        <w:b/>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3">
    <w:nsid w:val="63A61937"/>
    <w:multiLevelType w:val="hybridMultilevel"/>
    <w:tmpl w:val="CD6C4A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6BF60BAF"/>
    <w:multiLevelType w:val="hybridMultilevel"/>
    <w:tmpl w:val="F8543262"/>
    <w:lvl w:ilvl="0" w:tplc="35686834">
      <w:start w:val="1"/>
      <w:numFmt w:val="lowerRoman"/>
      <w:lvlText w:val="%1."/>
      <w:lvlJc w:val="left"/>
      <w:pPr>
        <w:ind w:left="1404" w:hanging="720"/>
      </w:pPr>
      <w:rPr>
        <w:rFonts w:hint="default"/>
      </w:rPr>
    </w:lvl>
    <w:lvl w:ilvl="1" w:tplc="080A0019" w:tentative="1">
      <w:start w:val="1"/>
      <w:numFmt w:val="lowerLetter"/>
      <w:lvlText w:val="%2."/>
      <w:lvlJc w:val="left"/>
      <w:pPr>
        <w:ind w:left="1764" w:hanging="360"/>
      </w:pPr>
    </w:lvl>
    <w:lvl w:ilvl="2" w:tplc="080A001B" w:tentative="1">
      <w:start w:val="1"/>
      <w:numFmt w:val="lowerRoman"/>
      <w:lvlText w:val="%3."/>
      <w:lvlJc w:val="right"/>
      <w:pPr>
        <w:ind w:left="2484" w:hanging="180"/>
      </w:pPr>
    </w:lvl>
    <w:lvl w:ilvl="3" w:tplc="080A000F" w:tentative="1">
      <w:start w:val="1"/>
      <w:numFmt w:val="decimal"/>
      <w:lvlText w:val="%4."/>
      <w:lvlJc w:val="left"/>
      <w:pPr>
        <w:ind w:left="3204" w:hanging="360"/>
      </w:pPr>
    </w:lvl>
    <w:lvl w:ilvl="4" w:tplc="080A0019" w:tentative="1">
      <w:start w:val="1"/>
      <w:numFmt w:val="lowerLetter"/>
      <w:lvlText w:val="%5."/>
      <w:lvlJc w:val="left"/>
      <w:pPr>
        <w:ind w:left="3924" w:hanging="360"/>
      </w:pPr>
    </w:lvl>
    <w:lvl w:ilvl="5" w:tplc="080A001B" w:tentative="1">
      <w:start w:val="1"/>
      <w:numFmt w:val="lowerRoman"/>
      <w:lvlText w:val="%6."/>
      <w:lvlJc w:val="right"/>
      <w:pPr>
        <w:ind w:left="4644" w:hanging="180"/>
      </w:pPr>
    </w:lvl>
    <w:lvl w:ilvl="6" w:tplc="080A000F" w:tentative="1">
      <w:start w:val="1"/>
      <w:numFmt w:val="decimal"/>
      <w:lvlText w:val="%7."/>
      <w:lvlJc w:val="left"/>
      <w:pPr>
        <w:ind w:left="5364" w:hanging="360"/>
      </w:pPr>
    </w:lvl>
    <w:lvl w:ilvl="7" w:tplc="080A0019" w:tentative="1">
      <w:start w:val="1"/>
      <w:numFmt w:val="lowerLetter"/>
      <w:lvlText w:val="%8."/>
      <w:lvlJc w:val="left"/>
      <w:pPr>
        <w:ind w:left="6084" w:hanging="360"/>
      </w:pPr>
    </w:lvl>
    <w:lvl w:ilvl="8" w:tplc="080A001B" w:tentative="1">
      <w:start w:val="1"/>
      <w:numFmt w:val="lowerRoman"/>
      <w:lvlText w:val="%9."/>
      <w:lvlJc w:val="right"/>
      <w:pPr>
        <w:ind w:left="6804" w:hanging="180"/>
      </w:pPr>
    </w:lvl>
  </w:abstractNum>
  <w:abstractNum w:abstractNumId="35">
    <w:nsid w:val="6C001B44"/>
    <w:multiLevelType w:val="hybridMultilevel"/>
    <w:tmpl w:val="FDE4C12A"/>
    <w:lvl w:ilvl="0" w:tplc="A912A63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EE40353"/>
    <w:multiLevelType w:val="hybridMultilevel"/>
    <w:tmpl w:val="FC0E5E38"/>
    <w:lvl w:ilvl="0" w:tplc="CC8A3EBC">
      <w:start w:val="1"/>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37">
    <w:nsid w:val="6EED58CB"/>
    <w:multiLevelType w:val="hybridMultilevel"/>
    <w:tmpl w:val="DCF8B0F8"/>
    <w:lvl w:ilvl="0" w:tplc="0470BC9A">
      <w:start w:val="1"/>
      <w:numFmt w:val="lowerRoman"/>
      <w:lvlText w:val="%1)"/>
      <w:lvlJc w:val="left"/>
      <w:pPr>
        <w:ind w:left="1425" w:hanging="72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8">
    <w:nsid w:val="6F2649CA"/>
    <w:multiLevelType w:val="hybridMultilevel"/>
    <w:tmpl w:val="76984A6E"/>
    <w:lvl w:ilvl="0" w:tplc="B7F6F804">
      <w:start w:val="1"/>
      <w:numFmt w:val="upperRoman"/>
      <w:lvlText w:val="%1."/>
      <w:lvlJc w:val="left"/>
      <w:pPr>
        <w:ind w:left="1428" w:hanging="720"/>
      </w:pPr>
      <w:rPr>
        <w:rFonts w:hint="default"/>
        <w:i/>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9">
    <w:nsid w:val="72265B98"/>
    <w:multiLevelType w:val="hybridMultilevel"/>
    <w:tmpl w:val="DA6E6068"/>
    <w:lvl w:ilvl="0" w:tplc="F48C5FC0">
      <w:start w:val="6"/>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0">
    <w:nsid w:val="739E3CA2"/>
    <w:multiLevelType w:val="hybridMultilevel"/>
    <w:tmpl w:val="9BA0F9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75784AE3"/>
    <w:multiLevelType w:val="hybridMultilevel"/>
    <w:tmpl w:val="1756A244"/>
    <w:lvl w:ilvl="0" w:tplc="0104302A">
      <w:start w:val="1"/>
      <w:numFmt w:val="upperRoman"/>
      <w:lvlText w:val="%1."/>
      <w:lvlJc w:val="left"/>
      <w:pPr>
        <w:ind w:left="1476" w:hanging="720"/>
      </w:pPr>
      <w:rPr>
        <w:rFonts w:hint="default"/>
      </w:rPr>
    </w:lvl>
    <w:lvl w:ilvl="1" w:tplc="080A0019" w:tentative="1">
      <w:start w:val="1"/>
      <w:numFmt w:val="lowerLetter"/>
      <w:lvlText w:val="%2."/>
      <w:lvlJc w:val="left"/>
      <w:pPr>
        <w:ind w:left="1836" w:hanging="360"/>
      </w:pPr>
    </w:lvl>
    <w:lvl w:ilvl="2" w:tplc="080A001B" w:tentative="1">
      <w:start w:val="1"/>
      <w:numFmt w:val="lowerRoman"/>
      <w:lvlText w:val="%3."/>
      <w:lvlJc w:val="right"/>
      <w:pPr>
        <w:ind w:left="2556" w:hanging="180"/>
      </w:pPr>
    </w:lvl>
    <w:lvl w:ilvl="3" w:tplc="080A000F" w:tentative="1">
      <w:start w:val="1"/>
      <w:numFmt w:val="decimal"/>
      <w:lvlText w:val="%4."/>
      <w:lvlJc w:val="left"/>
      <w:pPr>
        <w:ind w:left="3276" w:hanging="360"/>
      </w:pPr>
    </w:lvl>
    <w:lvl w:ilvl="4" w:tplc="080A0019" w:tentative="1">
      <w:start w:val="1"/>
      <w:numFmt w:val="lowerLetter"/>
      <w:lvlText w:val="%5."/>
      <w:lvlJc w:val="left"/>
      <w:pPr>
        <w:ind w:left="3996" w:hanging="360"/>
      </w:pPr>
    </w:lvl>
    <w:lvl w:ilvl="5" w:tplc="080A001B" w:tentative="1">
      <w:start w:val="1"/>
      <w:numFmt w:val="lowerRoman"/>
      <w:lvlText w:val="%6."/>
      <w:lvlJc w:val="right"/>
      <w:pPr>
        <w:ind w:left="4716" w:hanging="180"/>
      </w:pPr>
    </w:lvl>
    <w:lvl w:ilvl="6" w:tplc="080A000F" w:tentative="1">
      <w:start w:val="1"/>
      <w:numFmt w:val="decimal"/>
      <w:lvlText w:val="%7."/>
      <w:lvlJc w:val="left"/>
      <w:pPr>
        <w:ind w:left="5436" w:hanging="360"/>
      </w:pPr>
    </w:lvl>
    <w:lvl w:ilvl="7" w:tplc="080A0019" w:tentative="1">
      <w:start w:val="1"/>
      <w:numFmt w:val="lowerLetter"/>
      <w:lvlText w:val="%8."/>
      <w:lvlJc w:val="left"/>
      <w:pPr>
        <w:ind w:left="6156" w:hanging="360"/>
      </w:pPr>
    </w:lvl>
    <w:lvl w:ilvl="8" w:tplc="080A001B" w:tentative="1">
      <w:start w:val="1"/>
      <w:numFmt w:val="lowerRoman"/>
      <w:lvlText w:val="%9."/>
      <w:lvlJc w:val="right"/>
      <w:pPr>
        <w:ind w:left="6876" w:hanging="180"/>
      </w:pPr>
    </w:lvl>
  </w:abstractNum>
  <w:abstractNum w:abstractNumId="42">
    <w:nsid w:val="75924104"/>
    <w:multiLevelType w:val="hybridMultilevel"/>
    <w:tmpl w:val="DC5C411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3">
    <w:nsid w:val="76E21AE0"/>
    <w:multiLevelType w:val="hybridMultilevel"/>
    <w:tmpl w:val="A740F39C"/>
    <w:lvl w:ilvl="0" w:tplc="B19E8110">
      <w:start w:val="2"/>
      <w:numFmt w:val="lowerRoman"/>
      <w:lvlText w:val="%1."/>
      <w:lvlJc w:val="left"/>
      <w:pPr>
        <w:ind w:left="1404" w:hanging="720"/>
      </w:pPr>
      <w:rPr>
        <w:rFonts w:hint="default"/>
        <w:b/>
      </w:rPr>
    </w:lvl>
    <w:lvl w:ilvl="1" w:tplc="080A0019" w:tentative="1">
      <w:start w:val="1"/>
      <w:numFmt w:val="lowerLetter"/>
      <w:lvlText w:val="%2."/>
      <w:lvlJc w:val="left"/>
      <w:pPr>
        <w:ind w:left="1764" w:hanging="360"/>
      </w:pPr>
    </w:lvl>
    <w:lvl w:ilvl="2" w:tplc="080A001B" w:tentative="1">
      <w:start w:val="1"/>
      <w:numFmt w:val="lowerRoman"/>
      <w:lvlText w:val="%3."/>
      <w:lvlJc w:val="right"/>
      <w:pPr>
        <w:ind w:left="2484" w:hanging="180"/>
      </w:pPr>
    </w:lvl>
    <w:lvl w:ilvl="3" w:tplc="080A000F" w:tentative="1">
      <w:start w:val="1"/>
      <w:numFmt w:val="decimal"/>
      <w:lvlText w:val="%4."/>
      <w:lvlJc w:val="left"/>
      <w:pPr>
        <w:ind w:left="3204" w:hanging="360"/>
      </w:pPr>
    </w:lvl>
    <w:lvl w:ilvl="4" w:tplc="080A0019" w:tentative="1">
      <w:start w:val="1"/>
      <w:numFmt w:val="lowerLetter"/>
      <w:lvlText w:val="%5."/>
      <w:lvlJc w:val="left"/>
      <w:pPr>
        <w:ind w:left="3924" w:hanging="360"/>
      </w:pPr>
    </w:lvl>
    <w:lvl w:ilvl="5" w:tplc="080A001B" w:tentative="1">
      <w:start w:val="1"/>
      <w:numFmt w:val="lowerRoman"/>
      <w:lvlText w:val="%6."/>
      <w:lvlJc w:val="right"/>
      <w:pPr>
        <w:ind w:left="4644" w:hanging="180"/>
      </w:pPr>
    </w:lvl>
    <w:lvl w:ilvl="6" w:tplc="080A000F" w:tentative="1">
      <w:start w:val="1"/>
      <w:numFmt w:val="decimal"/>
      <w:lvlText w:val="%7."/>
      <w:lvlJc w:val="left"/>
      <w:pPr>
        <w:ind w:left="5364" w:hanging="360"/>
      </w:pPr>
    </w:lvl>
    <w:lvl w:ilvl="7" w:tplc="080A0019" w:tentative="1">
      <w:start w:val="1"/>
      <w:numFmt w:val="lowerLetter"/>
      <w:lvlText w:val="%8."/>
      <w:lvlJc w:val="left"/>
      <w:pPr>
        <w:ind w:left="6084" w:hanging="360"/>
      </w:pPr>
    </w:lvl>
    <w:lvl w:ilvl="8" w:tplc="080A001B" w:tentative="1">
      <w:start w:val="1"/>
      <w:numFmt w:val="lowerRoman"/>
      <w:lvlText w:val="%9."/>
      <w:lvlJc w:val="right"/>
      <w:pPr>
        <w:ind w:left="6804" w:hanging="180"/>
      </w:pPr>
    </w:lvl>
  </w:abstractNum>
  <w:abstractNum w:abstractNumId="44">
    <w:nsid w:val="7A9275D6"/>
    <w:multiLevelType w:val="hybridMultilevel"/>
    <w:tmpl w:val="CBE832E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5">
    <w:nsid w:val="7D5D2322"/>
    <w:multiLevelType w:val="hybridMultilevel"/>
    <w:tmpl w:val="2A3481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nsid w:val="7FFB1499"/>
    <w:multiLevelType w:val="hybridMultilevel"/>
    <w:tmpl w:val="DEB423E0"/>
    <w:lvl w:ilvl="0" w:tplc="6E52D9B0">
      <w:start w:val="1"/>
      <w:numFmt w:val="low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42"/>
  </w:num>
  <w:num w:numId="2">
    <w:abstractNumId w:val="17"/>
  </w:num>
  <w:num w:numId="3">
    <w:abstractNumId w:val="33"/>
  </w:num>
  <w:num w:numId="4">
    <w:abstractNumId w:val="16"/>
  </w:num>
  <w:num w:numId="5">
    <w:abstractNumId w:val="4"/>
  </w:num>
  <w:num w:numId="6">
    <w:abstractNumId w:val="12"/>
  </w:num>
  <w:num w:numId="7">
    <w:abstractNumId w:val="18"/>
  </w:num>
  <w:num w:numId="8">
    <w:abstractNumId w:val="34"/>
  </w:num>
  <w:num w:numId="9">
    <w:abstractNumId w:val="43"/>
  </w:num>
  <w:num w:numId="10">
    <w:abstractNumId w:val="26"/>
  </w:num>
  <w:num w:numId="11">
    <w:abstractNumId w:val="41"/>
  </w:num>
  <w:num w:numId="12">
    <w:abstractNumId w:val="25"/>
  </w:num>
  <w:num w:numId="13">
    <w:abstractNumId w:val="24"/>
  </w:num>
  <w:num w:numId="14">
    <w:abstractNumId w:val="21"/>
  </w:num>
  <w:num w:numId="15">
    <w:abstractNumId w:val="37"/>
  </w:num>
  <w:num w:numId="16">
    <w:abstractNumId w:val="11"/>
  </w:num>
  <w:num w:numId="17">
    <w:abstractNumId w:val="14"/>
  </w:num>
  <w:num w:numId="18">
    <w:abstractNumId w:val="36"/>
  </w:num>
  <w:num w:numId="19">
    <w:abstractNumId w:val="2"/>
  </w:num>
  <w:num w:numId="20">
    <w:abstractNumId w:val="10"/>
  </w:num>
  <w:num w:numId="21">
    <w:abstractNumId w:val="31"/>
  </w:num>
  <w:num w:numId="22">
    <w:abstractNumId w:val="22"/>
  </w:num>
  <w:num w:numId="23">
    <w:abstractNumId w:val="35"/>
  </w:num>
  <w:num w:numId="24">
    <w:abstractNumId w:val="7"/>
  </w:num>
  <w:num w:numId="25">
    <w:abstractNumId w:val="23"/>
  </w:num>
  <w:num w:numId="26">
    <w:abstractNumId w:val="30"/>
  </w:num>
  <w:num w:numId="27">
    <w:abstractNumId w:val="15"/>
  </w:num>
  <w:num w:numId="28">
    <w:abstractNumId w:val="1"/>
  </w:num>
  <w:num w:numId="29">
    <w:abstractNumId w:val="28"/>
  </w:num>
  <w:num w:numId="30">
    <w:abstractNumId w:val="27"/>
  </w:num>
  <w:num w:numId="31">
    <w:abstractNumId w:val="32"/>
  </w:num>
  <w:num w:numId="32">
    <w:abstractNumId w:val="6"/>
  </w:num>
  <w:num w:numId="33">
    <w:abstractNumId w:val="29"/>
  </w:num>
  <w:num w:numId="34">
    <w:abstractNumId w:val="9"/>
  </w:num>
  <w:num w:numId="35">
    <w:abstractNumId w:val="45"/>
  </w:num>
  <w:num w:numId="36">
    <w:abstractNumId w:val="46"/>
  </w:num>
  <w:num w:numId="37">
    <w:abstractNumId w:val="19"/>
  </w:num>
  <w:num w:numId="38">
    <w:abstractNumId w:val="0"/>
  </w:num>
  <w:num w:numId="39">
    <w:abstractNumId w:val="13"/>
  </w:num>
  <w:num w:numId="40">
    <w:abstractNumId w:val="39"/>
  </w:num>
  <w:num w:numId="41">
    <w:abstractNumId w:val="44"/>
  </w:num>
  <w:num w:numId="42">
    <w:abstractNumId w:val="8"/>
  </w:num>
  <w:num w:numId="43">
    <w:abstractNumId w:val="40"/>
  </w:num>
  <w:num w:numId="44">
    <w:abstractNumId w:val="38"/>
  </w:num>
  <w:num w:numId="45">
    <w:abstractNumId w:val="20"/>
  </w:num>
  <w:num w:numId="46">
    <w:abstractNumId w:val="5"/>
  </w:num>
  <w:num w:numId="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A06EC"/>
    <w:rsid w:val="000013FF"/>
    <w:rsid w:val="000100D7"/>
    <w:rsid w:val="00010282"/>
    <w:rsid w:val="00012B0C"/>
    <w:rsid w:val="00013ECA"/>
    <w:rsid w:val="00020A8B"/>
    <w:rsid w:val="000219EC"/>
    <w:rsid w:val="00022D4A"/>
    <w:rsid w:val="00024A86"/>
    <w:rsid w:val="00024FC7"/>
    <w:rsid w:val="000257F4"/>
    <w:rsid w:val="00027396"/>
    <w:rsid w:val="00030938"/>
    <w:rsid w:val="00030EDC"/>
    <w:rsid w:val="000313E5"/>
    <w:rsid w:val="00031A90"/>
    <w:rsid w:val="00031BDF"/>
    <w:rsid w:val="00033ED7"/>
    <w:rsid w:val="00034DA1"/>
    <w:rsid w:val="000356F3"/>
    <w:rsid w:val="00035B01"/>
    <w:rsid w:val="00036448"/>
    <w:rsid w:val="0004098B"/>
    <w:rsid w:val="00041B75"/>
    <w:rsid w:val="0004407F"/>
    <w:rsid w:val="00044331"/>
    <w:rsid w:val="0004735C"/>
    <w:rsid w:val="00047B55"/>
    <w:rsid w:val="00047F77"/>
    <w:rsid w:val="00050C50"/>
    <w:rsid w:val="00052747"/>
    <w:rsid w:val="00056E9C"/>
    <w:rsid w:val="00060AD1"/>
    <w:rsid w:val="000623EA"/>
    <w:rsid w:val="0006383C"/>
    <w:rsid w:val="000649A8"/>
    <w:rsid w:val="00064E65"/>
    <w:rsid w:val="00067126"/>
    <w:rsid w:val="00067427"/>
    <w:rsid w:val="00067EE7"/>
    <w:rsid w:val="00070432"/>
    <w:rsid w:val="000757A0"/>
    <w:rsid w:val="00075D01"/>
    <w:rsid w:val="00076C6F"/>
    <w:rsid w:val="00076E97"/>
    <w:rsid w:val="00080266"/>
    <w:rsid w:val="00082162"/>
    <w:rsid w:val="0009496E"/>
    <w:rsid w:val="00094ECB"/>
    <w:rsid w:val="00095A0D"/>
    <w:rsid w:val="000A0336"/>
    <w:rsid w:val="000A21DA"/>
    <w:rsid w:val="000A39C7"/>
    <w:rsid w:val="000A48D5"/>
    <w:rsid w:val="000A6BD5"/>
    <w:rsid w:val="000A6F0C"/>
    <w:rsid w:val="000A6F5E"/>
    <w:rsid w:val="000A70BC"/>
    <w:rsid w:val="000A7312"/>
    <w:rsid w:val="000A7C7D"/>
    <w:rsid w:val="000B0754"/>
    <w:rsid w:val="000B0AA0"/>
    <w:rsid w:val="000B4BF6"/>
    <w:rsid w:val="000B509F"/>
    <w:rsid w:val="000B7509"/>
    <w:rsid w:val="000B7AB9"/>
    <w:rsid w:val="000C0202"/>
    <w:rsid w:val="000C0801"/>
    <w:rsid w:val="000C10BE"/>
    <w:rsid w:val="000C1FAB"/>
    <w:rsid w:val="000C510A"/>
    <w:rsid w:val="000C69E6"/>
    <w:rsid w:val="000C7CC4"/>
    <w:rsid w:val="000D02B3"/>
    <w:rsid w:val="000D27C4"/>
    <w:rsid w:val="000D2BDC"/>
    <w:rsid w:val="000D345C"/>
    <w:rsid w:val="000D5018"/>
    <w:rsid w:val="000D79A2"/>
    <w:rsid w:val="000E0945"/>
    <w:rsid w:val="000E4839"/>
    <w:rsid w:val="000E7B81"/>
    <w:rsid w:val="000E7BBB"/>
    <w:rsid w:val="000E7DD4"/>
    <w:rsid w:val="000F03F7"/>
    <w:rsid w:val="000F38A8"/>
    <w:rsid w:val="000F3E6C"/>
    <w:rsid w:val="000F414C"/>
    <w:rsid w:val="000F4452"/>
    <w:rsid w:val="000F5C8A"/>
    <w:rsid w:val="000F7910"/>
    <w:rsid w:val="001020CB"/>
    <w:rsid w:val="00103023"/>
    <w:rsid w:val="00104388"/>
    <w:rsid w:val="00107261"/>
    <w:rsid w:val="001100B7"/>
    <w:rsid w:val="00112BCA"/>
    <w:rsid w:val="00113BEB"/>
    <w:rsid w:val="0011485A"/>
    <w:rsid w:val="00114C7B"/>
    <w:rsid w:val="001163A5"/>
    <w:rsid w:val="001166A5"/>
    <w:rsid w:val="001200C9"/>
    <w:rsid w:val="00121246"/>
    <w:rsid w:val="001233BE"/>
    <w:rsid w:val="00123474"/>
    <w:rsid w:val="00126589"/>
    <w:rsid w:val="0012759D"/>
    <w:rsid w:val="00127E2E"/>
    <w:rsid w:val="001307C7"/>
    <w:rsid w:val="0014333B"/>
    <w:rsid w:val="00144D24"/>
    <w:rsid w:val="00145A8C"/>
    <w:rsid w:val="00145E17"/>
    <w:rsid w:val="001473E7"/>
    <w:rsid w:val="00147DC9"/>
    <w:rsid w:val="00151B58"/>
    <w:rsid w:val="0015308E"/>
    <w:rsid w:val="00153C1C"/>
    <w:rsid w:val="00155E2B"/>
    <w:rsid w:val="00156863"/>
    <w:rsid w:val="00156F67"/>
    <w:rsid w:val="00157530"/>
    <w:rsid w:val="001605B9"/>
    <w:rsid w:val="00162574"/>
    <w:rsid w:val="001637E8"/>
    <w:rsid w:val="0016436E"/>
    <w:rsid w:val="001666D2"/>
    <w:rsid w:val="001734B9"/>
    <w:rsid w:val="00175788"/>
    <w:rsid w:val="001764D9"/>
    <w:rsid w:val="00176626"/>
    <w:rsid w:val="00176F1B"/>
    <w:rsid w:val="0018003B"/>
    <w:rsid w:val="00180300"/>
    <w:rsid w:val="00180C44"/>
    <w:rsid w:val="00182526"/>
    <w:rsid w:val="0018461C"/>
    <w:rsid w:val="001846DE"/>
    <w:rsid w:val="00186FD0"/>
    <w:rsid w:val="00187CF0"/>
    <w:rsid w:val="001919AC"/>
    <w:rsid w:val="00192479"/>
    <w:rsid w:val="00193681"/>
    <w:rsid w:val="0019403E"/>
    <w:rsid w:val="00194633"/>
    <w:rsid w:val="001958CD"/>
    <w:rsid w:val="00195908"/>
    <w:rsid w:val="001A03A0"/>
    <w:rsid w:val="001A04E1"/>
    <w:rsid w:val="001A1EEF"/>
    <w:rsid w:val="001A2748"/>
    <w:rsid w:val="001A37BE"/>
    <w:rsid w:val="001A4E5C"/>
    <w:rsid w:val="001A595B"/>
    <w:rsid w:val="001A6CA3"/>
    <w:rsid w:val="001B04AE"/>
    <w:rsid w:val="001B15B6"/>
    <w:rsid w:val="001B3357"/>
    <w:rsid w:val="001B42F7"/>
    <w:rsid w:val="001B4CC7"/>
    <w:rsid w:val="001B611D"/>
    <w:rsid w:val="001B630D"/>
    <w:rsid w:val="001B7FCF"/>
    <w:rsid w:val="001C1290"/>
    <w:rsid w:val="001C27E0"/>
    <w:rsid w:val="001C317A"/>
    <w:rsid w:val="001C59CB"/>
    <w:rsid w:val="001C6F9C"/>
    <w:rsid w:val="001D3597"/>
    <w:rsid w:val="001D48A7"/>
    <w:rsid w:val="001D68A5"/>
    <w:rsid w:val="001D6EEA"/>
    <w:rsid w:val="001D7414"/>
    <w:rsid w:val="001E08AB"/>
    <w:rsid w:val="001E0E13"/>
    <w:rsid w:val="001E123E"/>
    <w:rsid w:val="001E162E"/>
    <w:rsid w:val="001E2D94"/>
    <w:rsid w:val="001E3C8B"/>
    <w:rsid w:val="001E3E5E"/>
    <w:rsid w:val="001E4029"/>
    <w:rsid w:val="001E4E55"/>
    <w:rsid w:val="001E4E6B"/>
    <w:rsid w:val="001E7AC4"/>
    <w:rsid w:val="001E7F62"/>
    <w:rsid w:val="001F1D0C"/>
    <w:rsid w:val="001F2D54"/>
    <w:rsid w:val="001F40AB"/>
    <w:rsid w:val="00200062"/>
    <w:rsid w:val="002000DD"/>
    <w:rsid w:val="00200311"/>
    <w:rsid w:val="00200508"/>
    <w:rsid w:val="00200C39"/>
    <w:rsid w:val="00201BE9"/>
    <w:rsid w:val="00202BBE"/>
    <w:rsid w:val="002038C6"/>
    <w:rsid w:val="00203BE3"/>
    <w:rsid w:val="002046DE"/>
    <w:rsid w:val="00204F75"/>
    <w:rsid w:val="00205282"/>
    <w:rsid w:val="00207DAB"/>
    <w:rsid w:val="0021036D"/>
    <w:rsid w:val="00212252"/>
    <w:rsid w:val="00212554"/>
    <w:rsid w:val="002130E7"/>
    <w:rsid w:val="00213630"/>
    <w:rsid w:val="00213638"/>
    <w:rsid w:val="00214953"/>
    <w:rsid w:val="002210CE"/>
    <w:rsid w:val="00221998"/>
    <w:rsid w:val="00221A5E"/>
    <w:rsid w:val="00222844"/>
    <w:rsid w:val="00222A47"/>
    <w:rsid w:val="00225887"/>
    <w:rsid w:val="00225943"/>
    <w:rsid w:val="00225E93"/>
    <w:rsid w:val="002273A2"/>
    <w:rsid w:val="00227965"/>
    <w:rsid w:val="002323C3"/>
    <w:rsid w:val="0023717F"/>
    <w:rsid w:val="00237FF9"/>
    <w:rsid w:val="00240B4D"/>
    <w:rsid w:val="00242737"/>
    <w:rsid w:val="00243D63"/>
    <w:rsid w:val="00244A70"/>
    <w:rsid w:val="00244C4A"/>
    <w:rsid w:val="0024683A"/>
    <w:rsid w:val="0025372F"/>
    <w:rsid w:val="00255B81"/>
    <w:rsid w:val="002564E3"/>
    <w:rsid w:val="00256AF8"/>
    <w:rsid w:val="0026096E"/>
    <w:rsid w:val="00261A9E"/>
    <w:rsid w:val="00264854"/>
    <w:rsid w:val="00264BF7"/>
    <w:rsid w:val="00265104"/>
    <w:rsid w:val="00267EB2"/>
    <w:rsid w:val="00271A72"/>
    <w:rsid w:val="002753C6"/>
    <w:rsid w:val="00276617"/>
    <w:rsid w:val="002767D2"/>
    <w:rsid w:val="002814E4"/>
    <w:rsid w:val="00282E74"/>
    <w:rsid w:val="00283192"/>
    <w:rsid w:val="002836BD"/>
    <w:rsid w:val="002843D2"/>
    <w:rsid w:val="00284A6C"/>
    <w:rsid w:val="00285D8B"/>
    <w:rsid w:val="002860F6"/>
    <w:rsid w:val="00286FDA"/>
    <w:rsid w:val="00287601"/>
    <w:rsid w:val="00290CCF"/>
    <w:rsid w:val="00290D89"/>
    <w:rsid w:val="00290F3F"/>
    <w:rsid w:val="0029406B"/>
    <w:rsid w:val="0029434E"/>
    <w:rsid w:val="00295CD3"/>
    <w:rsid w:val="0029644A"/>
    <w:rsid w:val="00296691"/>
    <w:rsid w:val="00296EF2"/>
    <w:rsid w:val="002A06EC"/>
    <w:rsid w:val="002A3EA6"/>
    <w:rsid w:val="002A496F"/>
    <w:rsid w:val="002A53B5"/>
    <w:rsid w:val="002A5E3F"/>
    <w:rsid w:val="002A5FC5"/>
    <w:rsid w:val="002A72F6"/>
    <w:rsid w:val="002A7B6C"/>
    <w:rsid w:val="002B111F"/>
    <w:rsid w:val="002B178A"/>
    <w:rsid w:val="002B2E3B"/>
    <w:rsid w:val="002B337F"/>
    <w:rsid w:val="002B3556"/>
    <w:rsid w:val="002B48F6"/>
    <w:rsid w:val="002B792B"/>
    <w:rsid w:val="002B7F8B"/>
    <w:rsid w:val="002C16FA"/>
    <w:rsid w:val="002C1FCF"/>
    <w:rsid w:val="002C280D"/>
    <w:rsid w:val="002C41FE"/>
    <w:rsid w:val="002D1A19"/>
    <w:rsid w:val="002D460A"/>
    <w:rsid w:val="002D695D"/>
    <w:rsid w:val="002D7D03"/>
    <w:rsid w:val="002E1E2D"/>
    <w:rsid w:val="002E1FE6"/>
    <w:rsid w:val="002E2900"/>
    <w:rsid w:val="002E374C"/>
    <w:rsid w:val="002E453C"/>
    <w:rsid w:val="002E49CD"/>
    <w:rsid w:val="002F1050"/>
    <w:rsid w:val="002F2E69"/>
    <w:rsid w:val="002F43BE"/>
    <w:rsid w:val="002F4E2D"/>
    <w:rsid w:val="002F51E2"/>
    <w:rsid w:val="002F5D0D"/>
    <w:rsid w:val="002F5E53"/>
    <w:rsid w:val="002F5E65"/>
    <w:rsid w:val="002F722F"/>
    <w:rsid w:val="00301715"/>
    <w:rsid w:val="003057C8"/>
    <w:rsid w:val="0031075B"/>
    <w:rsid w:val="00312E4C"/>
    <w:rsid w:val="0031523D"/>
    <w:rsid w:val="00315714"/>
    <w:rsid w:val="00315FC3"/>
    <w:rsid w:val="003163AE"/>
    <w:rsid w:val="003164BC"/>
    <w:rsid w:val="00317711"/>
    <w:rsid w:val="00320CEC"/>
    <w:rsid w:val="003216B0"/>
    <w:rsid w:val="00321893"/>
    <w:rsid w:val="00321C77"/>
    <w:rsid w:val="003228DF"/>
    <w:rsid w:val="003232F1"/>
    <w:rsid w:val="00323F43"/>
    <w:rsid w:val="0032490D"/>
    <w:rsid w:val="003259E9"/>
    <w:rsid w:val="00327004"/>
    <w:rsid w:val="00327CC2"/>
    <w:rsid w:val="0033023F"/>
    <w:rsid w:val="003335D6"/>
    <w:rsid w:val="003365DC"/>
    <w:rsid w:val="003368C8"/>
    <w:rsid w:val="00336DB7"/>
    <w:rsid w:val="003374DA"/>
    <w:rsid w:val="00340BF0"/>
    <w:rsid w:val="003410D7"/>
    <w:rsid w:val="00341407"/>
    <w:rsid w:val="003415A3"/>
    <w:rsid w:val="003419E0"/>
    <w:rsid w:val="00341B07"/>
    <w:rsid w:val="00343D99"/>
    <w:rsid w:val="003443BB"/>
    <w:rsid w:val="003445A4"/>
    <w:rsid w:val="00344A2F"/>
    <w:rsid w:val="00346E4D"/>
    <w:rsid w:val="0034749F"/>
    <w:rsid w:val="00351996"/>
    <w:rsid w:val="00353E79"/>
    <w:rsid w:val="00354EDE"/>
    <w:rsid w:val="00357450"/>
    <w:rsid w:val="00361A58"/>
    <w:rsid w:val="0036276A"/>
    <w:rsid w:val="00364823"/>
    <w:rsid w:val="0036524D"/>
    <w:rsid w:val="003669AD"/>
    <w:rsid w:val="00370FE1"/>
    <w:rsid w:val="00372134"/>
    <w:rsid w:val="00375DE1"/>
    <w:rsid w:val="00376783"/>
    <w:rsid w:val="00380A0F"/>
    <w:rsid w:val="003812E0"/>
    <w:rsid w:val="00381B8F"/>
    <w:rsid w:val="003823B4"/>
    <w:rsid w:val="003856AA"/>
    <w:rsid w:val="00386A20"/>
    <w:rsid w:val="00386AD2"/>
    <w:rsid w:val="00386AED"/>
    <w:rsid w:val="00386BE5"/>
    <w:rsid w:val="00386CCD"/>
    <w:rsid w:val="003879C3"/>
    <w:rsid w:val="00390298"/>
    <w:rsid w:val="003907E9"/>
    <w:rsid w:val="00392712"/>
    <w:rsid w:val="00394303"/>
    <w:rsid w:val="00395400"/>
    <w:rsid w:val="00395563"/>
    <w:rsid w:val="0039625E"/>
    <w:rsid w:val="00397F48"/>
    <w:rsid w:val="003A16EA"/>
    <w:rsid w:val="003A23C8"/>
    <w:rsid w:val="003A4B5E"/>
    <w:rsid w:val="003A5B38"/>
    <w:rsid w:val="003A61C5"/>
    <w:rsid w:val="003A659E"/>
    <w:rsid w:val="003B10AD"/>
    <w:rsid w:val="003B1FCE"/>
    <w:rsid w:val="003B4441"/>
    <w:rsid w:val="003B52DF"/>
    <w:rsid w:val="003C16F0"/>
    <w:rsid w:val="003C30F0"/>
    <w:rsid w:val="003C332D"/>
    <w:rsid w:val="003C39B4"/>
    <w:rsid w:val="003C4CA7"/>
    <w:rsid w:val="003C58F1"/>
    <w:rsid w:val="003C798F"/>
    <w:rsid w:val="003C7D35"/>
    <w:rsid w:val="003D01DC"/>
    <w:rsid w:val="003D02D2"/>
    <w:rsid w:val="003D0FB8"/>
    <w:rsid w:val="003D2D34"/>
    <w:rsid w:val="003D3679"/>
    <w:rsid w:val="003D6EF8"/>
    <w:rsid w:val="003E23EC"/>
    <w:rsid w:val="003E2D25"/>
    <w:rsid w:val="003E3710"/>
    <w:rsid w:val="003E607D"/>
    <w:rsid w:val="003F0A5F"/>
    <w:rsid w:val="003F2CCA"/>
    <w:rsid w:val="003F2FC9"/>
    <w:rsid w:val="003F4257"/>
    <w:rsid w:val="003F4367"/>
    <w:rsid w:val="003F7AA3"/>
    <w:rsid w:val="003F7BAA"/>
    <w:rsid w:val="003F7F7D"/>
    <w:rsid w:val="00400E24"/>
    <w:rsid w:val="00402717"/>
    <w:rsid w:val="00402FFA"/>
    <w:rsid w:val="004040C6"/>
    <w:rsid w:val="00404156"/>
    <w:rsid w:val="00407102"/>
    <w:rsid w:val="00407954"/>
    <w:rsid w:val="004113E6"/>
    <w:rsid w:val="004136FE"/>
    <w:rsid w:val="004138CF"/>
    <w:rsid w:val="00415374"/>
    <w:rsid w:val="00422081"/>
    <w:rsid w:val="00423126"/>
    <w:rsid w:val="00424A84"/>
    <w:rsid w:val="00425B86"/>
    <w:rsid w:val="00430690"/>
    <w:rsid w:val="00432044"/>
    <w:rsid w:val="00432753"/>
    <w:rsid w:val="00432A35"/>
    <w:rsid w:val="00432CAD"/>
    <w:rsid w:val="00432E32"/>
    <w:rsid w:val="00432FFD"/>
    <w:rsid w:val="00434055"/>
    <w:rsid w:val="0044002B"/>
    <w:rsid w:val="0044224E"/>
    <w:rsid w:val="0044254E"/>
    <w:rsid w:val="00442F7F"/>
    <w:rsid w:val="00443EE4"/>
    <w:rsid w:val="00444974"/>
    <w:rsid w:val="00447F81"/>
    <w:rsid w:val="0045044F"/>
    <w:rsid w:val="004511E5"/>
    <w:rsid w:val="00452471"/>
    <w:rsid w:val="004530A7"/>
    <w:rsid w:val="00455D68"/>
    <w:rsid w:val="0046129C"/>
    <w:rsid w:val="00461604"/>
    <w:rsid w:val="00461F7C"/>
    <w:rsid w:val="00464EFF"/>
    <w:rsid w:val="0046587C"/>
    <w:rsid w:val="00465F10"/>
    <w:rsid w:val="00470021"/>
    <w:rsid w:val="004706C7"/>
    <w:rsid w:val="00470FF6"/>
    <w:rsid w:val="00471194"/>
    <w:rsid w:val="00472894"/>
    <w:rsid w:val="00473D14"/>
    <w:rsid w:val="00474B22"/>
    <w:rsid w:val="004760EA"/>
    <w:rsid w:val="0047695D"/>
    <w:rsid w:val="00476C43"/>
    <w:rsid w:val="0047723B"/>
    <w:rsid w:val="004773F5"/>
    <w:rsid w:val="00477F7D"/>
    <w:rsid w:val="00481575"/>
    <w:rsid w:val="00482EB3"/>
    <w:rsid w:val="0048334E"/>
    <w:rsid w:val="00484A5B"/>
    <w:rsid w:val="0048574D"/>
    <w:rsid w:val="00486979"/>
    <w:rsid w:val="00487E5D"/>
    <w:rsid w:val="00490006"/>
    <w:rsid w:val="00494EB9"/>
    <w:rsid w:val="004953CA"/>
    <w:rsid w:val="004968F5"/>
    <w:rsid w:val="004A0E92"/>
    <w:rsid w:val="004A5BAB"/>
    <w:rsid w:val="004A6521"/>
    <w:rsid w:val="004A6AB9"/>
    <w:rsid w:val="004A6C06"/>
    <w:rsid w:val="004B1FC8"/>
    <w:rsid w:val="004B2E81"/>
    <w:rsid w:val="004B3A72"/>
    <w:rsid w:val="004B45EB"/>
    <w:rsid w:val="004B582A"/>
    <w:rsid w:val="004B5B9A"/>
    <w:rsid w:val="004B69DB"/>
    <w:rsid w:val="004B7BCB"/>
    <w:rsid w:val="004C0221"/>
    <w:rsid w:val="004C0C8A"/>
    <w:rsid w:val="004C0D80"/>
    <w:rsid w:val="004C1D63"/>
    <w:rsid w:val="004C2F0B"/>
    <w:rsid w:val="004C4FEC"/>
    <w:rsid w:val="004C5A77"/>
    <w:rsid w:val="004C5FDB"/>
    <w:rsid w:val="004C6AC7"/>
    <w:rsid w:val="004C7E81"/>
    <w:rsid w:val="004D370A"/>
    <w:rsid w:val="004D383C"/>
    <w:rsid w:val="004D3F1A"/>
    <w:rsid w:val="004D43E4"/>
    <w:rsid w:val="004D47B6"/>
    <w:rsid w:val="004D5F87"/>
    <w:rsid w:val="004D6184"/>
    <w:rsid w:val="004E0BB1"/>
    <w:rsid w:val="004E13B9"/>
    <w:rsid w:val="004E2760"/>
    <w:rsid w:val="004E3FDB"/>
    <w:rsid w:val="004E5455"/>
    <w:rsid w:val="004E74EE"/>
    <w:rsid w:val="004F08F0"/>
    <w:rsid w:val="004F1111"/>
    <w:rsid w:val="004F2FBB"/>
    <w:rsid w:val="004F317C"/>
    <w:rsid w:val="004F5E5F"/>
    <w:rsid w:val="004F7B30"/>
    <w:rsid w:val="00500F1E"/>
    <w:rsid w:val="00503FD7"/>
    <w:rsid w:val="005057CA"/>
    <w:rsid w:val="00506F70"/>
    <w:rsid w:val="00507127"/>
    <w:rsid w:val="00507355"/>
    <w:rsid w:val="005104C2"/>
    <w:rsid w:val="005115A4"/>
    <w:rsid w:val="005128D4"/>
    <w:rsid w:val="00513DBE"/>
    <w:rsid w:val="005162DC"/>
    <w:rsid w:val="00522063"/>
    <w:rsid w:val="00526426"/>
    <w:rsid w:val="00526A47"/>
    <w:rsid w:val="00527DD0"/>
    <w:rsid w:val="005314D4"/>
    <w:rsid w:val="005316EE"/>
    <w:rsid w:val="00531920"/>
    <w:rsid w:val="005329AD"/>
    <w:rsid w:val="005334BF"/>
    <w:rsid w:val="00533D3F"/>
    <w:rsid w:val="00533FF8"/>
    <w:rsid w:val="00534C86"/>
    <w:rsid w:val="00535284"/>
    <w:rsid w:val="005376C1"/>
    <w:rsid w:val="00540808"/>
    <w:rsid w:val="0054084E"/>
    <w:rsid w:val="00540C7A"/>
    <w:rsid w:val="00541388"/>
    <w:rsid w:val="00542B59"/>
    <w:rsid w:val="00542CE8"/>
    <w:rsid w:val="00543111"/>
    <w:rsid w:val="0054754A"/>
    <w:rsid w:val="0055398E"/>
    <w:rsid w:val="00556DC2"/>
    <w:rsid w:val="00557110"/>
    <w:rsid w:val="00557E89"/>
    <w:rsid w:val="0056017C"/>
    <w:rsid w:val="005604B7"/>
    <w:rsid w:val="00560CC7"/>
    <w:rsid w:val="0056116F"/>
    <w:rsid w:val="00562BA9"/>
    <w:rsid w:val="00564E3B"/>
    <w:rsid w:val="005651B7"/>
    <w:rsid w:val="005749DD"/>
    <w:rsid w:val="005750A8"/>
    <w:rsid w:val="00580CEF"/>
    <w:rsid w:val="00580E7A"/>
    <w:rsid w:val="00583618"/>
    <w:rsid w:val="00583B27"/>
    <w:rsid w:val="00585A01"/>
    <w:rsid w:val="00587132"/>
    <w:rsid w:val="005905D4"/>
    <w:rsid w:val="005938C4"/>
    <w:rsid w:val="00594629"/>
    <w:rsid w:val="005953A0"/>
    <w:rsid w:val="00595D43"/>
    <w:rsid w:val="00596DB3"/>
    <w:rsid w:val="00597926"/>
    <w:rsid w:val="00597A69"/>
    <w:rsid w:val="00597DC6"/>
    <w:rsid w:val="00597ECA"/>
    <w:rsid w:val="005A0BEF"/>
    <w:rsid w:val="005A22A8"/>
    <w:rsid w:val="005A26D3"/>
    <w:rsid w:val="005A2A8B"/>
    <w:rsid w:val="005A30F7"/>
    <w:rsid w:val="005A3C38"/>
    <w:rsid w:val="005A449A"/>
    <w:rsid w:val="005A5FD6"/>
    <w:rsid w:val="005A7F43"/>
    <w:rsid w:val="005B0920"/>
    <w:rsid w:val="005B0D4D"/>
    <w:rsid w:val="005B0EC4"/>
    <w:rsid w:val="005B2481"/>
    <w:rsid w:val="005B2695"/>
    <w:rsid w:val="005B2C71"/>
    <w:rsid w:val="005B40FB"/>
    <w:rsid w:val="005B788E"/>
    <w:rsid w:val="005C1455"/>
    <w:rsid w:val="005C3B7C"/>
    <w:rsid w:val="005C4F89"/>
    <w:rsid w:val="005C6383"/>
    <w:rsid w:val="005C6941"/>
    <w:rsid w:val="005C74C4"/>
    <w:rsid w:val="005C75C4"/>
    <w:rsid w:val="005D0967"/>
    <w:rsid w:val="005D0B81"/>
    <w:rsid w:val="005D2064"/>
    <w:rsid w:val="005D44F8"/>
    <w:rsid w:val="005D6798"/>
    <w:rsid w:val="005D6B95"/>
    <w:rsid w:val="005E0343"/>
    <w:rsid w:val="005E134D"/>
    <w:rsid w:val="005E26A4"/>
    <w:rsid w:val="005E3119"/>
    <w:rsid w:val="005E4257"/>
    <w:rsid w:val="005E4588"/>
    <w:rsid w:val="005E4606"/>
    <w:rsid w:val="005E5716"/>
    <w:rsid w:val="005E5AE5"/>
    <w:rsid w:val="005E73FB"/>
    <w:rsid w:val="005F17F8"/>
    <w:rsid w:val="005F1C73"/>
    <w:rsid w:val="005F5411"/>
    <w:rsid w:val="005F6AE1"/>
    <w:rsid w:val="006017A1"/>
    <w:rsid w:val="00601A0B"/>
    <w:rsid w:val="006023D3"/>
    <w:rsid w:val="00602A3D"/>
    <w:rsid w:val="006059CF"/>
    <w:rsid w:val="00610C4B"/>
    <w:rsid w:val="0061463C"/>
    <w:rsid w:val="00614D1F"/>
    <w:rsid w:val="00615674"/>
    <w:rsid w:val="00616174"/>
    <w:rsid w:val="006210A8"/>
    <w:rsid w:val="0062130D"/>
    <w:rsid w:val="00624136"/>
    <w:rsid w:val="0062594C"/>
    <w:rsid w:val="00626BC4"/>
    <w:rsid w:val="0062740F"/>
    <w:rsid w:val="006305F1"/>
    <w:rsid w:val="00633022"/>
    <w:rsid w:val="006347FF"/>
    <w:rsid w:val="00635DE7"/>
    <w:rsid w:val="00637961"/>
    <w:rsid w:val="00637CE9"/>
    <w:rsid w:val="006405F5"/>
    <w:rsid w:val="00640986"/>
    <w:rsid w:val="00641C23"/>
    <w:rsid w:val="00642FCC"/>
    <w:rsid w:val="00644773"/>
    <w:rsid w:val="00644BE9"/>
    <w:rsid w:val="006507B1"/>
    <w:rsid w:val="00650C3A"/>
    <w:rsid w:val="00650FBC"/>
    <w:rsid w:val="00652E81"/>
    <w:rsid w:val="006536AD"/>
    <w:rsid w:val="006555F9"/>
    <w:rsid w:val="00660E44"/>
    <w:rsid w:val="0066268C"/>
    <w:rsid w:val="00662F4B"/>
    <w:rsid w:val="00664588"/>
    <w:rsid w:val="00664959"/>
    <w:rsid w:val="006662B1"/>
    <w:rsid w:val="00666441"/>
    <w:rsid w:val="00670233"/>
    <w:rsid w:val="00672BD2"/>
    <w:rsid w:val="00672F0D"/>
    <w:rsid w:val="006735CA"/>
    <w:rsid w:val="00675541"/>
    <w:rsid w:val="00675D47"/>
    <w:rsid w:val="00677602"/>
    <w:rsid w:val="00677F6F"/>
    <w:rsid w:val="00680C85"/>
    <w:rsid w:val="0068598D"/>
    <w:rsid w:val="00686244"/>
    <w:rsid w:val="0069068F"/>
    <w:rsid w:val="0069182C"/>
    <w:rsid w:val="00691F6E"/>
    <w:rsid w:val="00695DDF"/>
    <w:rsid w:val="00697684"/>
    <w:rsid w:val="006A5D97"/>
    <w:rsid w:val="006A6411"/>
    <w:rsid w:val="006A6C53"/>
    <w:rsid w:val="006B0730"/>
    <w:rsid w:val="006B2667"/>
    <w:rsid w:val="006B40E3"/>
    <w:rsid w:val="006B42FE"/>
    <w:rsid w:val="006B5819"/>
    <w:rsid w:val="006B7F3E"/>
    <w:rsid w:val="006C07A1"/>
    <w:rsid w:val="006C168C"/>
    <w:rsid w:val="006C254D"/>
    <w:rsid w:val="006C3527"/>
    <w:rsid w:val="006C3649"/>
    <w:rsid w:val="006C3FF3"/>
    <w:rsid w:val="006D11C2"/>
    <w:rsid w:val="006D1D95"/>
    <w:rsid w:val="006D2780"/>
    <w:rsid w:val="006D3778"/>
    <w:rsid w:val="006D39A1"/>
    <w:rsid w:val="006D438A"/>
    <w:rsid w:val="006D6C83"/>
    <w:rsid w:val="006D6D19"/>
    <w:rsid w:val="006E1EC6"/>
    <w:rsid w:val="006E26EB"/>
    <w:rsid w:val="006E2FA9"/>
    <w:rsid w:val="006E2FCF"/>
    <w:rsid w:val="006E6224"/>
    <w:rsid w:val="006F046E"/>
    <w:rsid w:val="006F1126"/>
    <w:rsid w:val="006F2304"/>
    <w:rsid w:val="006F37AE"/>
    <w:rsid w:val="006F4926"/>
    <w:rsid w:val="006F5011"/>
    <w:rsid w:val="006F5142"/>
    <w:rsid w:val="006F5E6A"/>
    <w:rsid w:val="00701200"/>
    <w:rsid w:val="0070152B"/>
    <w:rsid w:val="0070553E"/>
    <w:rsid w:val="007057F7"/>
    <w:rsid w:val="007077EB"/>
    <w:rsid w:val="00713D9C"/>
    <w:rsid w:val="007143F6"/>
    <w:rsid w:val="0071472C"/>
    <w:rsid w:val="0071503E"/>
    <w:rsid w:val="00715F2F"/>
    <w:rsid w:val="0071617E"/>
    <w:rsid w:val="007169F6"/>
    <w:rsid w:val="007173C5"/>
    <w:rsid w:val="00717CCC"/>
    <w:rsid w:val="007203FC"/>
    <w:rsid w:val="00721FED"/>
    <w:rsid w:val="00724837"/>
    <w:rsid w:val="007321B3"/>
    <w:rsid w:val="007332ED"/>
    <w:rsid w:val="00735493"/>
    <w:rsid w:val="007363FE"/>
    <w:rsid w:val="00736C57"/>
    <w:rsid w:val="007371EA"/>
    <w:rsid w:val="00737EEC"/>
    <w:rsid w:val="00740181"/>
    <w:rsid w:val="0074317F"/>
    <w:rsid w:val="007457FF"/>
    <w:rsid w:val="00746B2A"/>
    <w:rsid w:val="007514BF"/>
    <w:rsid w:val="00751963"/>
    <w:rsid w:val="007530F0"/>
    <w:rsid w:val="0075697A"/>
    <w:rsid w:val="00760A76"/>
    <w:rsid w:val="00760ED6"/>
    <w:rsid w:val="00761D50"/>
    <w:rsid w:val="00764FE4"/>
    <w:rsid w:val="0076799C"/>
    <w:rsid w:val="00772776"/>
    <w:rsid w:val="007730DA"/>
    <w:rsid w:val="00773B4F"/>
    <w:rsid w:val="00775359"/>
    <w:rsid w:val="00776D87"/>
    <w:rsid w:val="00782E58"/>
    <w:rsid w:val="00783206"/>
    <w:rsid w:val="00784B2F"/>
    <w:rsid w:val="00784E4B"/>
    <w:rsid w:val="00785E40"/>
    <w:rsid w:val="00791AF8"/>
    <w:rsid w:val="007926CD"/>
    <w:rsid w:val="007938E4"/>
    <w:rsid w:val="00793A77"/>
    <w:rsid w:val="00794781"/>
    <w:rsid w:val="00794948"/>
    <w:rsid w:val="00794E6D"/>
    <w:rsid w:val="007A0435"/>
    <w:rsid w:val="007A057A"/>
    <w:rsid w:val="007A2078"/>
    <w:rsid w:val="007A25F0"/>
    <w:rsid w:val="007A32D8"/>
    <w:rsid w:val="007A4DA1"/>
    <w:rsid w:val="007A5568"/>
    <w:rsid w:val="007A615E"/>
    <w:rsid w:val="007A6CB8"/>
    <w:rsid w:val="007B00B1"/>
    <w:rsid w:val="007B077D"/>
    <w:rsid w:val="007B07AB"/>
    <w:rsid w:val="007B2622"/>
    <w:rsid w:val="007B4ED2"/>
    <w:rsid w:val="007B6A94"/>
    <w:rsid w:val="007B723C"/>
    <w:rsid w:val="007B747B"/>
    <w:rsid w:val="007C0E90"/>
    <w:rsid w:val="007C1E6C"/>
    <w:rsid w:val="007C29B1"/>
    <w:rsid w:val="007C2AD2"/>
    <w:rsid w:val="007C48D6"/>
    <w:rsid w:val="007C6736"/>
    <w:rsid w:val="007D17D9"/>
    <w:rsid w:val="007D1ADC"/>
    <w:rsid w:val="007D23FB"/>
    <w:rsid w:val="007D2FCE"/>
    <w:rsid w:val="007D3A25"/>
    <w:rsid w:val="007D5676"/>
    <w:rsid w:val="007D6322"/>
    <w:rsid w:val="007D7399"/>
    <w:rsid w:val="007E03D2"/>
    <w:rsid w:val="007E2E75"/>
    <w:rsid w:val="007E4AB9"/>
    <w:rsid w:val="007E58ED"/>
    <w:rsid w:val="007E5B41"/>
    <w:rsid w:val="007F0C67"/>
    <w:rsid w:val="007F0FED"/>
    <w:rsid w:val="007F1A5E"/>
    <w:rsid w:val="007F3612"/>
    <w:rsid w:val="007F3EAB"/>
    <w:rsid w:val="007F5BA3"/>
    <w:rsid w:val="00801E96"/>
    <w:rsid w:val="00802F88"/>
    <w:rsid w:val="00803713"/>
    <w:rsid w:val="008042EA"/>
    <w:rsid w:val="00806979"/>
    <w:rsid w:val="00806F0C"/>
    <w:rsid w:val="00807C57"/>
    <w:rsid w:val="0081080B"/>
    <w:rsid w:val="00810E13"/>
    <w:rsid w:val="008141B1"/>
    <w:rsid w:val="00814524"/>
    <w:rsid w:val="00815ACB"/>
    <w:rsid w:val="00816D5E"/>
    <w:rsid w:val="00821C75"/>
    <w:rsid w:val="008225BD"/>
    <w:rsid w:val="00822DF1"/>
    <w:rsid w:val="00823030"/>
    <w:rsid w:val="00823C91"/>
    <w:rsid w:val="00824580"/>
    <w:rsid w:val="0082510D"/>
    <w:rsid w:val="008259D1"/>
    <w:rsid w:val="00830371"/>
    <w:rsid w:val="00830F21"/>
    <w:rsid w:val="00832BD9"/>
    <w:rsid w:val="00832FD8"/>
    <w:rsid w:val="008337C6"/>
    <w:rsid w:val="00833E8A"/>
    <w:rsid w:val="0083586A"/>
    <w:rsid w:val="008369E6"/>
    <w:rsid w:val="00836D6F"/>
    <w:rsid w:val="00836E9A"/>
    <w:rsid w:val="00836FF2"/>
    <w:rsid w:val="008379F4"/>
    <w:rsid w:val="00840836"/>
    <w:rsid w:val="00841060"/>
    <w:rsid w:val="008411F6"/>
    <w:rsid w:val="008455B9"/>
    <w:rsid w:val="00852444"/>
    <w:rsid w:val="00852EB9"/>
    <w:rsid w:val="00854F94"/>
    <w:rsid w:val="00856565"/>
    <w:rsid w:val="0085732D"/>
    <w:rsid w:val="00861987"/>
    <w:rsid w:val="00862907"/>
    <w:rsid w:val="008630BA"/>
    <w:rsid w:val="00865EF7"/>
    <w:rsid w:val="008677ED"/>
    <w:rsid w:val="00871820"/>
    <w:rsid w:val="00872122"/>
    <w:rsid w:val="00873BC6"/>
    <w:rsid w:val="008748DE"/>
    <w:rsid w:val="00875503"/>
    <w:rsid w:val="008777C9"/>
    <w:rsid w:val="00880FA0"/>
    <w:rsid w:val="00882DE7"/>
    <w:rsid w:val="00885258"/>
    <w:rsid w:val="0088605F"/>
    <w:rsid w:val="00891702"/>
    <w:rsid w:val="00892368"/>
    <w:rsid w:val="00893E6B"/>
    <w:rsid w:val="00895FD9"/>
    <w:rsid w:val="00897D6F"/>
    <w:rsid w:val="008A0729"/>
    <w:rsid w:val="008A0A7F"/>
    <w:rsid w:val="008A10DB"/>
    <w:rsid w:val="008A13EE"/>
    <w:rsid w:val="008A384C"/>
    <w:rsid w:val="008A520E"/>
    <w:rsid w:val="008A61EC"/>
    <w:rsid w:val="008A786A"/>
    <w:rsid w:val="008B43C0"/>
    <w:rsid w:val="008B5395"/>
    <w:rsid w:val="008B7BBD"/>
    <w:rsid w:val="008C1067"/>
    <w:rsid w:val="008C218C"/>
    <w:rsid w:val="008C2444"/>
    <w:rsid w:val="008C5C23"/>
    <w:rsid w:val="008C6857"/>
    <w:rsid w:val="008D061B"/>
    <w:rsid w:val="008D0CF3"/>
    <w:rsid w:val="008D16BA"/>
    <w:rsid w:val="008D2DCA"/>
    <w:rsid w:val="008D5FA4"/>
    <w:rsid w:val="008E20E6"/>
    <w:rsid w:val="008E29F9"/>
    <w:rsid w:val="008E2FD4"/>
    <w:rsid w:val="008E37EA"/>
    <w:rsid w:val="008E50B6"/>
    <w:rsid w:val="008F0407"/>
    <w:rsid w:val="008F05C1"/>
    <w:rsid w:val="008F106E"/>
    <w:rsid w:val="008F1559"/>
    <w:rsid w:val="008F1D87"/>
    <w:rsid w:val="008F6820"/>
    <w:rsid w:val="0090136A"/>
    <w:rsid w:val="0090360A"/>
    <w:rsid w:val="00903E75"/>
    <w:rsid w:val="00904173"/>
    <w:rsid w:val="00905076"/>
    <w:rsid w:val="00906047"/>
    <w:rsid w:val="00910D09"/>
    <w:rsid w:val="00910D18"/>
    <w:rsid w:val="00911EC7"/>
    <w:rsid w:val="00912266"/>
    <w:rsid w:val="009124BF"/>
    <w:rsid w:val="009132E6"/>
    <w:rsid w:val="009147D8"/>
    <w:rsid w:val="00915139"/>
    <w:rsid w:val="0091712B"/>
    <w:rsid w:val="00920E37"/>
    <w:rsid w:val="00921A93"/>
    <w:rsid w:val="00921D91"/>
    <w:rsid w:val="00924916"/>
    <w:rsid w:val="00925F40"/>
    <w:rsid w:val="009270E4"/>
    <w:rsid w:val="00936747"/>
    <w:rsid w:val="00936E44"/>
    <w:rsid w:val="009376A7"/>
    <w:rsid w:val="00937E3B"/>
    <w:rsid w:val="009411C9"/>
    <w:rsid w:val="009417CF"/>
    <w:rsid w:val="00944ACA"/>
    <w:rsid w:val="00945250"/>
    <w:rsid w:val="00950502"/>
    <w:rsid w:val="00950F05"/>
    <w:rsid w:val="009510C6"/>
    <w:rsid w:val="00951E0E"/>
    <w:rsid w:val="009524F9"/>
    <w:rsid w:val="009525CD"/>
    <w:rsid w:val="00952D5F"/>
    <w:rsid w:val="00953F85"/>
    <w:rsid w:val="00955115"/>
    <w:rsid w:val="009600F1"/>
    <w:rsid w:val="00962B7F"/>
    <w:rsid w:val="0096321F"/>
    <w:rsid w:val="00966DFA"/>
    <w:rsid w:val="00970628"/>
    <w:rsid w:val="00970C55"/>
    <w:rsid w:val="00972CA9"/>
    <w:rsid w:val="0097347C"/>
    <w:rsid w:val="0097427A"/>
    <w:rsid w:val="009745D1"/>
    <w:rsid w:val="00974699"/>
    <w:rsid w:val="00976D8E"/>
    <w:rsid w:val="009771BD"/>
    <w:rsid w:val="009803DF"/>
    <w:rsid w:val="0098300F"/>
    <w:rsid w:val="009841F7"/>
    <w:rsid w:val="00994436"/>
    <w:rsid w:val="009946AD"/>
    <w:rsid w:val="00996448"/>
    <w:rsid w:val="00997C7D"/>
    <w:rsid w:val="00997EB3"/>
    <w:rsid w:val="009A1D4F"/>
    <w:rsid w:val="009A2199"/>
    <w:rsid w:val="009A2566"/>
    <w:rsid w:val="009A27B2"/>
    <w:rsid w:val="009A58CB"/>
    <w:rsid w:val="009A614F"/>
    <w:rsid w:val="009A78F2"/>
    <w:rsid w:val="009B062D"/>
    <w:rsid w:val="009B2A28"/>
    <w:rsid w:val="009B4D83"/>
    <w:rsid w:val="009B58F5"/>
    <w:rsid w:val="009B62FA"/>
    <w:rsid w:val="009B7EEB"/>
    <w:rsid w:val="009C146D"/>
    <w:rsid w:val="009C2CA2"/>
    <w:rsid w:val="009C6AAC"/>
    <w:rsid w:val="009C7888"/>
    <w:rsid w:val="009D0A9D"/>
    <w:rsid w:val="009D25F7"/>
    <w:rsid w:val="009D3D95"/>
    <w:rsid w:val="009D6DE8"/>
    <w:rsid w:val="009D6EF4"/>
    <w:rsid w:val="009D7F76"/>
    <w:rsid w:val="009E00C4"/>
    <w:rsid w:val="009E087F"/>
    <w:rsid w:val="009E28D4"/>
    <w:rsid w:val="009E4E0D"/>
    <w:rsid w:val="009E58C9"/>
    <w:rsid w:val="009E59BB"/>
    <w:rsid w:val="009E5A38"/>
    <w:rsid w:val="009E5F78"/>
    <w:rsid w:val="009E6070"/>
    <w:rsid w:val="009E7AF9"/>
    <w:rsid w:val="009F1D39"/>
    <w:rsid w:val="009F24C1"/>
    <w:rsid w:val="009F2EBC"/>
    <w:rsid w:val="009F39FC"/>
    <w:rsid w:val="009F4B8D"/>
    <w:rsid w:val="00A0239D"/>
    <w:rsid w:val="00A059B2"/>
    <w:rsid w:val="00A05E6A"/>
    <w:rsid w:val="00A07CBA"/>
    <w:rsid w:val="00A1020A"/>
    <w:rsid w:val="00A11A6B"/>
    <w:rsid w:val="00A12992"/>
    <w:rsid w:val="00A1350D"/>
    <w:rsid w:val="00A161EF"/>
    <w:rsid w:val="00A206C7"/>
    <w:rsid w:val="00A20F5A"/>
    <w:rsid w:val="00A24B89"/>
    <w:rsid w:val="00A27167"/>
    <w:rsid w:val="00A342BA"/>
    <w:rsid w:val="00A34436"/>
    <w:rsid w:val="00A349C6"/>
    <w:rsid w:val="00A351FE"/>
    <w:rsid w:val="00A41088"/>
    <w:rsid w:val="00A41BF9"/>
    <w:rsid w:val="00A42093"/>
    <w:rsid w:val="00A42D18"/>
    <w:rsid w:val="00A42FEA"/>
    <w:rsid w:val="00A43015"/>
    <w:rsid w:val="00A44DA3"/>
    <w:rsid w:val="00A4505F"/>
    <w:rsid w:val="00A46BDC"/>
    <w:rsid w:val="00A508D5"/>
    <w:rsid w:val="00A5164F"/>
    <w:rsid w:val="00A51895"/>
    <w:rsid w:val="00A519DB"/>
    <w:rsid w:val="00A52B0A"/>
    <w:rsid w:val="00A54D36"/>
    <w:rsid w:val="00A54F6C"/>
    <w:rsid w:val="00A55183"/>
    <w:rsid w:val="00A56D12"/>
    <w:rsid w:val="00A57AD9"/>
    <w:rsid w:val="00A60871"/>
    <w:rsid w:val="00A61FEF"/>
    <w:rsid w:val="00A63298"/>
    <w:rsid w:val="00A63D43"/>
    <w:rsid w:val="00A65462"/>
    <w:rsid w:val="00A679AC"/>
    <w:rsid w:val="00A7103E"/>
    <w:rsid w:val="00A71187"/>
    <w:rsid w:val="00A713CE"/>
    <w:rsid w:val="00A715C5"/>
    <w:rsid w:val="00A71B10"/>
    <w:rsid w:val="00A76FBE"/>
    <w:rsid w:val="00A829F5"/>
    <w:rsid w:val="00A84075"/>
    <w:rsid w:val="00A85F6D"/>
    <w:rsid w:val="00A86615"/>
    <w:rsid w:val="00A90F4E"/>
    <w:rsid w:val="00A91F52"/>
    <w:rsid w:val="00A92EB4"/>
    <w:rsid w:val="00A94F22"/>
    <w:rsid w:val="00A95230"/>
    <w:rsid w:val="00A96011"/>
    <w:rsid w:val="00AA0062"/>
    <w:rsid w:val="00AA0F97"/>
    <w:rsid w:val="00AA1502"/>
    <w:rsid w:val="00AA15CD"/>
    <w:rsid w:val="00AA2244"/>
    <w:rsid w:val="00AA4DD2"/>
    <w:rsid w:val="00AA513D"/>
    <w:rsid w:val="00AB0003"/>
    <w:rsid w:val="00AB00AA"/>
    <w:rsid w:val="00AB03AB"/>
    <w:rsid w:val="00AB0E46"/>
    <w:rsid w:val="00AB17FA"/>
    <w:rsid w:val="00AB1B28"/>
    <w:rsid w:val="00AB2E5D"/>
    <w:rsid w:val="00AB411F"/>
    <w:rsid w:val="00AB480D"/>
    <w:rsid w:val="00AB4B66"/>
    <w:rsid w:val="00AB4E0F"/>
    <w:rsid w:val="00AB5D39"/>
    <w:rsid w:val="00AB618E"/>
    <w:rsid w:val="00AC021E"/>
    <w:rsid w:val="00AC241C"/>
    <w:rsid w:val="00AC2CFC"/>
    <w:rsid w:val="00AC6B82"/>
    <w:rsid w:val="00AC746E"/>
    <w:rsid w:val="00AD23FD"/>
    <w:rsid w:val="00AD2BF9"/>
    <w:rsid w:val="00AD438F"/>
    <w:rsid w:val="00AD4EB6"/>
    <w:rsid w:val="00AD619C"/>
    <w:rsid w:val="00AE4D6B"/>
    <w:rsid w:val="00AE60B5"/>
    <w:rsid w:val="00AF0920"/>
    <w:rsid w:val="00AF28C2"/>
    <w:rsid w:val="00AF43B9"/>
    <w:rsid w:val="00AF60F9"/>
    <w:rsid w:val="00B01310"/>
    <w:rsid w:val="00B0199E"/>
    <w:rsid w:val="00B031B2"/>
    <w:rsid w:val="00B0614E"/>
    <w:rsid w:val="00B10494"/>
    <w:rsid w:val="00B10837"/>
    <w:rsid w:val="00B1114A"/>
    <w:rsid w:val="00B120BF"/>
    <w:rsid w:val="00B12DCE"/>
    <w:rsid w:val="00B14802"/>
    <w:rsid w:val="00B16BA6"/>
    <w:rsid w:val="00B16E5D"/>
    <w:rsid w:val="00B20C90"/>
    <w:rsid w:val="00B215BD"/>
    <w:rsid w:val="00B21604"/>
    <w:rsid w:val="00B21DB9"/>
    <w:rsid w:val="00B23774"/>
    <w:rsid w:val="00B26CD6"/>
    <w:rsid w:val="00B27B60"/>
    <w:rsid w:val="00B27D39"/>
    <w:rsid w:val="00B27E6F"/>
    <w:rsid w:val="00B32413"/>
    <w:rsid w:val="00B32F18"/>
    <w:rsid w:val="00B33728"/>
    <w:rsid w:val="00B33FE2"/>
    <w:rsid w:val="00B35015"/>
    <w:rsid w:val="00B35CA6"/>
    <w:rsid w:val="00B364BA"/>
    <w:rsid w:val="00B36CDC"/>
    <w:rsid w:val="00B400BD"/>
    <w:rsid w:val="00B42F6E"/>
    <w:rsid w:val="00B43534"/>
    <w:rsid w:val="00B4496E"/>
    <w:rsid w:val="00B46355"/>
    <w:rsid w:val="00B46A31"/>
    <w:rsid w:val="00B47819"/>
    <w:rsid w:val="00B502C2"/>
    <w:rsid w:val="00B507B4"/>
    <w:rsid w:val="00B52CAE"/>
    <w:rsid w:val="00B54BED"/>
    <w:rsid w:val="00B5637C"/>
    <w:rsid w:val="00B574DC"/>
    <w:rsid w:val="00B60F3D"/>
    <w:rsid w:val="00B61648"/>
    <w:rsid w:val="00B63421"/>
    <w:rsid w:val="00B63BA7"/>
    <w:rsid w:val="00B653B3"/>
    <w:rsid w:val="00B67F62"/>
    <w:rsid w:val="00B70EC7"/>
    <w:rsid w:val="00B70F14"/>
    <w:rsid w:val="00B7152E"/>
    <w:rsid w:val="00B71F47"/>
    <w:rsid w:val="00B72229"/>
    <w:rsid w:val="00B72B75"/>
    <w:rsid w:val="00B762D8"/>
    <w:rsid w:val="00B80D7E"/>
    <w:rsid w:val="00B82658"/>
    <w:rsid w:val="00B862C9"/>
    <w:rsid w:val="00B977FF"/>
    <w:rsid w:val="00BB1369"/>
    <w:rsid w:val="00BB162A"/>
    <w:rsid w:val="00BB27CF"/>
    <w:rsid w:val="00BB39EE"/>
    <w:rsid w:val="00BB515C"/>
    <w:rsid w:val="00BB5345"/>
    <w:rsid w:val="00BB5552"/>
    <w:rsid w:val="00BB5F1E"/>
    <w:rsid w:val="00BB7503"/>
    <w:rsid w:val="00BC2C9A"/>
    <w:rsid w:val="00BC582F"/>
    <w:rsid w:val="00BC636E"/>
    <w:rsid w:val="00BC7057"/>
    <w:rsid w:val="00BC70BE"/>
    <w:rsid w:val="00BD16BC"/>
    <w:rsid w:val="00BD20AD"/>
    <w:rsid w:val="00BD388D"/>
    <w:rsid w:val="00BD3E9D"/>
    <w:rsid w:val="00BD483F"/>
    <w:rsid w:val="00BD5427"/>
    <w:rsid w:val="00BD5D97"/>
    <w:rsid w:val="00BE3E84"/>
    <w:rsid w:val="00BE6912"/>
    <w:rsid w:val="00BE7D9B"/>
    <w:rsid w:val="00BF018E"/>
    <w:rsid w:val="00BF2439"/>
    <w:rsid w:val="00BF32ED"/>
    <w:rsid w:val="00BF3F9E"/>
    <w:rsid w:val="00BF45E9"/>
    <w:rsid w:val="00BF51B2"/>
    <w:rsid w:val="00C022A5"/>
    <w:rsid w:val="00C022ED"/>
    <w:rsid w:val="00C0302E"/>
    <w:rsid w:val="00C0304E"/>
    <w:rsid w:val="00C0342E"/>
    <w:rsid w:val="00C0379C"/>
    <w:rsid w:val="00C03D8A"/>
    <w:rsid w:val="00C064F6"/>
    <w:rsid w:val="00C1094B"/>
    <w:rsid w:val="00C10C21"/>
    <w:rsid w:val="00C1115E"/>
    <w:rsid w:val="00C11C04"/>
    <w:rsid w:val="00C12434"/>
    <w:rsid w:val="00C12968"/>
    <w:rsid w:val="00C12C2B"/>
    <w:rsid w:val="00C14417"/>
    <w:rsid w:val="00C148A6"/>
    <w:rsid w:val="00C149FF"/>
    <w:rsid w:val="00C15300"/>
    <w:rsid w:val="00C224A0"/>
    <w:rsid w:val="00C22562"/>
    <w:rsid w:val="00C2376A"/>
    <w:rsid w:val="00C247D4"/>
    <w:rsid w:val="00C24ABE"/>
    <w:rsid w:val="00C26C93"/>
    <w:rsid w:val="00C26DCF"/>
    <w:rsid w:val="00C3006E"/>
    <w:rsid w:val="00C3197A"/>
    <w:rsid w:val="00C355BA"/>
    <w:rsid w:val="00C362D1"/>
    <w:rsid w:val="00C36A92"/>
    <w:rsid w:val="00C36FAC"/>
    <w:rsid w:val="00C401EF"/>
    <w:rsid w:val="00C429D1"/>
    <w:rsid w:val="00C42B84"/>
    <w:rsid w:val="00C44C9C"/>
    <w:rsid w:val="00C44DED"/>
    <w:rsid w:val="00C4610B"/>
    <w:rsid w:val="00C476F1"/>
    <w:rsid w:val="00C51163"/>
    <w:rsid w:val="00C52427"/>
    <w:rsid w:val="00C60DEB"/>
    <w:rsid w:val="00C610E6"/>
    <w:rsid w:val="00C62097"/>
    <w:rsid w:val="00C6280F"/>
    <w:rsid w:val="00C64278"/>
    <w:rsid w:val="00C669E5"/>
    <w:rsid w:val="00C70D98"/>
    <w:rsid w:val="00C711F3"/>
    <w:rsid w:val="00C721E9"/>
    <w:rsid w:val="00C72DD5"/>
    <w:rsid w:val="00C743BA"/>
    <w:rsid w:val="00C745F7"/>
    <w:rsid w:val="00C74A3B"/>
    <w:rsid w:val="00C75E8D"/>
    <w:rsid w:val="00C7683F"/>
    <w:rsid w:val="00C7698C"/>
    <w:rsid w:val="00C80803"/>
    <w:rsid w:val="00C81F2A"/>
    <w:rsid w:val="00C83158"/>
    <w:rsid w:val="00C83A48"/>
    <w:rsid w:val="00C8561E"/>
    <w:rsid w:val="00C873DE"/>
    <w:rsid w:val="00C875BD"/>
    <w:rsid w:val="00C87787"/>
    <w:rsid w:val="00C87E32"/>
    <w:rsid w:val="00C916D9"/>
    <w:rsid w:val="00C91F01"/>
    <w:rsid w:val="00C9276F"/>
    <w:rsid w:val="00C92999"/>
    <w:rsid w:val="00C94182"/>
    <w:rsid w:val="00C96F8B"/>
    <w:rsid w:val="00CA220E"/>
    <w:rsid w:val="00CA2D82"/>
    <w:rsid w:val="00CA39BD"/>
    <w:rsid w:val="00CA4BD7"/>
    <w:rsid w:val="00CA4C04"/>
    <w:rsid w:val="00CA667E"/>
    <w:rsid w:val="00CA690B"/>
    <w:rsid w:val="00CB200E"/>
    <w:rsid w:val="00CB442D"/>
    <w:rsid w:val="00CB44A3"/>
    <w:rsid w:val="00CB4F24"/>
    <w:rsid w:val="00CB7DBD"/>
    <w:rsid w:val="00CC0340"/>
    <w:rsid w:val="00CC0DD7"/>
    <w:rsid w:val="00CC17BF"/>
    <w:rsid w:val="00CC1C4A"/>
    <w:rsid w:val="00CC260B"/>
    <w:rsid w:val="00CC3C8F"/>
    <w:rsid w:val="00CC4763"/>
    <w:rsid w:val="00CC7184"/>
    <w:rsid w:val="00CD051B"/>
    <w:rsid w:val="00CD0B9B"/>
    <w:rsid w:val="00CD1BDC"/>
    <w:rsid w:val="00CD2CBE"/>
    <w:rsid w:val="00CD3E45"/>
    <w:rsid w:val="00CE10FD"/>
    <w:rsid w:val="00CE23C7"/>
    <w:rsid w:val="00CE2A6A"/>
    <w:rsid w:val="00CE45DE"/>
    <w:rsid w:val="00CE468F"/>
    <w:rsid w:val="00CE4B7A"/>
    <w:rsid w:val="00CE4BFF"/>
    <w:rsid w:val="00CF0650"/>
    <w:rsid w:val="00CF2095"/>
    <w:rsid w:val="00CF3902"/>
    <w:rsid w:val="00CF4856"/>
    <w:rsid w:val="00CF5617"/>
    <w:rsid w:val="00CF6F77"/>
    <w:rsid w:val="00CF7D3A"/>
    <w:rsid w:val="00D01BFB"/>
    <w:rsid w:val="00D044A2"/>
    <w:rsid w:val="00D04576"/>
    <w:rsid w:val="00D06154"/>
    <w:rsid w:val="00D06D06"/>
    <w:rsid w:val="00D12D9D"/>
    <w:rsid w:val="00D14D51"/>
    <w:rsid w:val="00D16EB5"/>
    <w:rsid w:val="00D17559"/>
    <w:rsid w:val="00D21C92"/>
    <w:rsid w:val="00D221FB"/>
    <w:rsid w:val="00D226A5"/>
    <w:rsid w:val="00D22854"/>
    <w:rsid w:val="00D23A71"/>
    <w:rsid w:val="00D25CCC"/>
    <w:rsid w:val="00D26E92"/>
    <w:rsid w:val="00D27346"/>
    <w:rsid w:val="00D3016A"/>
    <w:rsid w:val="00D33806"/>
    <w:rsid w:val="00D3558A"/>
    <w:rsid w:val="00D37284"/>
    <w:rsid w:val="00D4006A"/>
    <w:rsid w:val="00D4121D"/>
    <w:rsid w:val="00D41930"/>
    <w:rsid w:val="00D41C39"/>
    <w:rsid w:val="00D42763"/>
    <w:rsid w:val="00D42877"/>
    <w:rsid w:val="00D43A38"/>
    <w:rsid w:val="00D43F0C"/>
    <w:rsid w:val="00D44026"/>
    <w:rsid w:val="00D4410D"/>
    <w:rsid w:val="00D46165"/>
    <w:rsid w:val="00D508A3"/>
    <w:rsid w:val="00D50E48"/>
    <w:rsid w:val="00D50F7A"/>
    <w:rsid w:val="00D5224B"/>
    <w:rsid w:val="00D52DDA"/>
    <w:rsid w:val="00D54033"/>
    <w:rsid w:val="00D55B0C"/>
    <w:rsid w:val="00D56EDC"/>
    <w:rsid w:val="00D572E1"/>
    <w:rsid w:val="00D574CA"/>
    <w:rsid w:val="00D62AB0"/>
    <w:rsid w:val="00D62B38"/>
    <w:rsid w:val="00D650BE"/>
    <w:rsid w:val="00D65A8A"/>
    <w:rsid w:val="00D67BBC"/>
    <w:rsid w:val="00D70ED8"/>
    <w:rsid w:val="00D71606"/>
    <w:rsid w:val="00D71794"/>
    <w:rsid w:val="00D75E4C"/>
    <w:rsid w:val="00D76A63"/>
    <w:rsid w:val="00D80010"/>
    <w:rsid w:val="00D80310"/>
    <w:rsid w:val="00D803DA"/>
    <w:rsid w:val="00D8045B"/>
    <w:rsid w:val="00D81475"/>
    <w:rsid w:val="00D81DBB"/>
    <w:rsid w:val="00D83147"/>
    <w:rsid w:val="00D833BD"/>
    <w:rsid w:val="00D83422"/>
    <w:rsid w:val="00D87AD6"/>
    <w:rsid w:val="00D92A13"/>
    <w:rsid w:val="00D931D9"/>
    <w:rsid w:val="00D934A4"/>
    <w:rsid w:val="00D94B2A"/>
    <w:rsid w:val="00D952BD"/>
    <w:rsid w:val="00D9790C"/>
    <w:rsid w:val="00D97B6D"/>
    <w:rsid w:val="00DA2C8F"/>
    <w:rsid w:val="00DA3F6C"/>
    <w:rsid w:val="00DB0A4C"/>
    <w:rsid w:val="00DB11B6"/>
    <w:rsid w:val="00DB4B2E"/>
    <w:rsid w:val="00DB4F57"/>
    <w:rsid w:val="00DB7584"/>
    <w:rsid w:val="00DB7D6C"/>
    <w:rsid w:val="00DC2E01"/>
    <w:rsid w:val="00DC4BCE"/>
    <w:rsid w:val="00DC5DBB"/>
    <w:rsid w:val="00DC636F"/>
    <w:rsid w:val="00DC71C6"/>
    <w:rsid w:val="00DC7F38"/>
    <w:rsid w:val="00DD5BE5"/>
    <w:rsid w:val="00DD7D2A"/>
    <w:rsid w:val="00DE1244"/>
    <w:rsid w:val="00DE18A8"/>
    <w:rsid w:val="00DE2AA1"/>
    <w:rsid w:val="00DE3B54"/>
    <w:rsid w:val="00DE3E25"/>
    <w:rsid w:val="00DE404A"/>
    <w:rsid w:val="00DE4EC0"/>
    <w:rsid w:val="00DE5BF9"/>
    <w:rsid w:val="00DE6523"/>
    <w:rsid w:val="00DE6CB0"/>
    <w:rsid w:val="00DE74DE"/>
    <w:rsid w:val="00DE7837"/>
    <w:rsid w:val="00DE7C8F"/>
    <w:rsid w:val="00DF223B"/>
    <w:rsid w:val="00DF430A"/>
    <w:rsid w:val="00DF7F29"/>
    <w:rsid w:val="00E005B0"/>
    <w:rsid w:val="00E007EC"/>
    <w:rsid w:val="00E019EC"/>
    <w:rsid w:val="00E026A6"/>
    <w:rsid w:val="00E02DFC"/>
    <w:rsid w:val="00E02E4E"/>
    <w:rsid w:val="00E033FD"/>
    <w:rsid w:val="00E0412F"/>
    <w:rsid w:val="00E042CF"/>
    <w:rsid w:val="00E04376"/>
    <w:rsid w:val="00E052D7"/>
    <w:rsid w:val="00E066F0"/>
    <w:rsid w:val="00E07AD5"/>
    <w:rsid w:val="00E102B4"/>
    <w:rsid w:val="00E132AA"/>
    <w:rsid w:val="00E14027"/>
    <w:rsid w:val="00E14ACD"/>
    <w:rsid w:val="00E14CB9"/>
    <w:rsid w:val="00E1736A"/>
    <w:rsid w:val="00E218DD"/>
    <w:rsid w:val="00E21A85"/>
    <w:rsid w:val="00E2426C"/>
    <w:rsid w:val="00E24850"/>
    <w:rsid w:val="00E24CC4"/>
    <w:rsid w:val="00E26809"/>
    <w:rsid w:val="00E319E2"/>
    <w:rsid w:val="00E321AC"/>
    <w:rsid w:val="00E32AD8"/>
    <w:rsid w:val="00E339EE"/>
    <w:rsid w:val="00E442C0"/>
    <w:rsid w:val="00E44DD4"/>
    <w:rsid w:val="00E4610D"/>
    <w:rsid w:val="00E46978"/>
    <w:rsid w:val="00E5277A"/>
    <w:rsid w:val="00E5589F"/>
    <w:rsid w:val="00E577BF"/>
    <w:rsid w:val="00E60BFB"/>
    <w:rsid w:val="00E6179C"/>
    <w:rsid w:val="00E62E1E"/>
    <w:rsid w:val="00E64B14"/>
    <w:rsid w:val="00E64FA2"/>
    <w:rsid w:val="00E7082A"/>
    <w:rsid w:val="00E70B67"/>
    <w:rsid w:val="00E719BA"/>
    <w:rsid w:val="00E723F4"/>
    <w:rsid w:val="00E725CE"/>
    <w:rsid w:val="00E72D86"/>
    <w:rsid w:val="00E73155"/>
    <w:rsid w:val="00E73A68"/>
    <w:rsid w:val="00E73A76"/>
    <w:rsid w:val="00E73E57"/>
    <w:rsid w:val="00E7707A"/>
    <w:rsid w:val="00E814BB"/>
    <w:rsid w:val="00E81AD5"/>
    <w:rsid w:val="00E81E89"/>
    <w:rsid w:val="00E82A34"/>
    <w:rsid w:val="00E82B3F"/>
    <w:rsid w:val="00E84E74"/>
    <w:rsid w:val="00E853F3"/>
    <w:rsid w:val="00E86A47"/>
    <w:rsid w:val="00E90084"/>
    <w:rsid w:val="00E91673"/>
    <w:rsid w:val="00E918F4"/>
    <w:rsid w:val="00E93B76"/>
    <w:rsid w:val="00E9434F"/>
    <w:rsid w:val="00EA3622"/>
    <w:rsid w:val="00EA6121"/>
    <w:rsid w:val="00EA6724"/>
    <w:rsid w:val="00EA7039"/>
    <w:rsid w:val="00EA7771"/>
    <w:rsid w:val="00EB26DC"/>
    <w:rsid w:val="00EB2927"/>
    <w:rsid w:val="00EB62AC"/>
    <w:rsid w:val="00EB6A8C"/>
    <w:rsid w:val="00EC3A3D"/>
    <w:rsid w:val="00EC52DD"/>
    <w:rsid w:val="00EC580B"/>
    <w:rsid w:val="00EC645F"/>
    <w:rsid w:val="00EC74BC"/>
    <w:rsid w:val="00ED0651"/>
    <w:rsid w:val="00EE15C5"/>
    <w:rsid w:val="00EE25C0"/>
    <w:rsid w:val="00EE2892"/>
    <w:rsid w:val="00EE6E3D"/>
    <w:rsid w:val="00EE7D0D"/>
    <w:rsid w:val="00EF14F3"/>
    <w:rsid w:val="00EF2874"/>
    <w:rsid w:val="00EF327C"/>
    <w:rsid w:val="00EF4627"/>
    <w:rsid w:val="00EF5A56"/>
    <w:rsid w:val="00EF6F3D"/>
    <w:rsid w:val="00EF7B5E"/>
    <w:rsid w:val="00F025C3"/>
    <w:rsid w:val="00F02F5E"/>
    <w:rsid w:val="00F05CEF"/>
    <w:rsid w:val="00F11989"/>
    <w:rsid w:val="00F12F0E"/>
    <w:rsid w:val="00F14B6B"/>
    <w:rsid w:val="00F168D0"/>
    <w:rsid w:val="00F17403"/>
    <w:rsid w:val="00F17A9F"/>
    <w:rsid w:val="00F17D6F"/>
    <w:rsid w:val="00F2158F"/>
    <w:rsid w:val="00F2205A"/>
    <w:rsid w:val="00F22916"/>
    <w:rsid w:val="00F22D82"/>
    <w:rsid w:val="00F234DA"/>
    <w:rsid w:val="00F23618"/>
    <w:rsid w:val="00F2362A"/>
    <w:rsid w:val="00F24827"/>
    <w:rsid w:val="00F24AA8"/>
    <w:rsid w:val="00F24D98"/>
    <w:rsid w:val="00F24F29"/>
    <w:rsid w:val="00F25193"/>
    <w:rsid w:val="00F25A99"/>
    <w:rsid w:val="00F25B47"/>
    <w:rsid w:val="00F2748D"/>
    <w:rsid w:val="00F279E1"/>
    <w:rsid w:val="00F27B3F"/>
    <w:rsid w:val="00F3257B"/>
    <w:rsid w:val="00F3316A"/>
    <w:rsid w:val="00F33CFC"/>
    <w:rsid w:val="00F35E51"/>
    <w:rsid w:val="00F37259"/>
    <w:rsid w:val="00F40200"/>
    <w:rsid w:val="00F402A4"/>
    <w:rsid w:val="00F417CA"/>
    <w:rsid w:val="00F42377"/>
    <w:rsid w:val="00F42E6C"/>
    <w:rsid w:val="00F4385A"/>
    <w:rsid w:val="00F44D9D"/>
    <w:rsid w:val="00F4559A"/>
    <w:rsid w:val="00F45C43"/>
    <w:rsid w:val="00F46088"/>
    <w:rsid w:val="00F465DD"/>
    <w:rsid w:val="00F47B90"/>
    <w:rsid w:val="00F513DE"/>
    <w:rsid w:val="00F515FF"/>
    <w:rsid w:val="00F51F00"/>
    <w:rsid w:val="00F53278"/>
    <w:rsid w:val="00F53D61"/>
    <w:rsid w:val="00F555A3"/>
    <w:rsid w:val="00F559C8"/>
    <w:rsid w:val="00F55E9E"/>
    <w:rsid w:val="00F560CC"/>
    <w:rsid w:val="00F57226"/>
    <w:rsid w:val="00F6132F"/>
    <w:rsid w:val="00F617A4"/>
    <w:rsid w:val="00F6242F"/>
    <w:rsid w:val="00F62DDA"/>
    <w:rsid w:val="00F65A18"/>
    <w:rsid w:val="00F67645"/>
    <w:rsid w:val="00F7051E"/>
    <w:rsid w:val="00F70C20"/>
    <w:rsid w:val="00F72048"/>
    <w:rsid w:val="00F75718"/>
    <w:rsid w:val="00F77D2B"/>
    <w:rsid w:val="00F80338"/>
    <w:rsid w:val="00F8073E"/>
    <w:rsid w:val="00F81EE7"/>
    <w:rsid w:val="00F86560"/>
    <w:rsid w:val="00F86CAF"/>
    <w:rsid w:val="00F87191"/>
    <w:rsid w:val="00F8749F"/>
    <w:rsid w:val="00F877A2"/>
    <w:rsid w:val="00F918B4"/>
    <w:rsid w:val="00F94E85"/>
    <w:rsid w:val="00F94ECE"/>
    <w:rsid w:val="00FA33DF"/>
    <w:rsid w:val="00FA3DD8"/>
    <w:rsid w:val="00FA5455"/>
    <w:rsid w:val="00FA55BF"/>
    <w:rsid w:val="00FA5A81"/>
    <w:rsid w:val="00FA5ADE"/>
    <w:rsid w:val="00FB1C74"/>
    <w:rsid w:val="00FB2FAE"/>
    <w:rsid w:val="00FB3DA9"/>
    <w:rsid w:val="00FB409D"/>
    <w:rsid w:val="00FB787E"/>
    <w:rsid w:val="00FC118B"/>
    <w:rsid w:val="00FC2C5E"/>
    <w:rsid w:val="00FC4042"/>
    <w:rsid w:val="00FC5366"/>
    <w:rsid w:val="00FD0B6F"/>
    <w:rsid w:val="00FD18AC"/>
    <w:rsid w:val="00FD1B23"/>
    <w:rsid w:val="00FD5076"/>
    <w:rsid w:val="00FD6E5E"/>
    <w:rsid w:val="00FD6EAE"/>
    <w:rsid w:val="00FD773C"/>
    <w:rsid w:val="00FE14D7"/>
    <w:rsid w:val="00FE2480"/>
    <w:rsid w:val="00FE44F6"/>
    <w:rsid w:val="00FE5BDB"/>
    <w:rsid w:val="00FE64AF"/>
    <w:rsid w:val="00FE69D5"/>
    <w:rsid w:val="00FE6E20"/>
    <w:rsid w:val="00FE7CEB"/>
    <w:rsid w:val="00FF0566"/>
    <w:rsid w:val="00FF281E"/>
    <w:rsid w:val="00FF3EF9"/>
    <w:rsid w:val="00FF45AC"/>
    <w:rsid w:val="00FF4891"/>
    <w:rsid w:val="00FF5A6C"/>
    <w:rsid w:val="00FF73F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1648D7CD"/>
  <w15:docId w15:val="{AEC01A09-A013-4CC9-9B48-49EBD9D4D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0C4B"/>
  </w:style>
  <w:style w:type="paragraph" w:styleId="Ttulo1">
    <w:name w:val="heading 1"/>
    <w:basedOn w:val="Normal"/>
    <w:next w:val="Normal"/>
    <w:link w:val="Ttulo1Car"/>
    <w:qFormat/>
    <w:rsid w:val="002A06EC"/>
    <w:pPr>
      <w:keepNext/>
      <w:spacing w:after="0" w:line="240" w:lineRule="auto"/>
      <w:jc w:val="both"/>
      <w:outlineLvl w:val="0"/>
    </w:pPr>
    <w:rPr>
      <w:rFonts w:ascii="Times New Roman" w:eastAsia="Times New Roman" w:hAnsi="Times New Roman" w:cs="Times New Roman"/>
      <w:sz w:val="28"/>
      <w:szCs w:val="24"/>
      <w:lang w:val="es-ES" w:eastAsia="es-ES"/>
    </w:rPr>
  </w:style>
  <w:style w:type="paragraph" w:styleId="Ttulo2">
    <w:name w:val="heading 2"/>
    <w:basedOn w:val="Normal"/>
    <w:next w:val="Normal"/>
    <w:link w:val="Ttulo2Car"/>
    <w:qFormat/>
    <w:rsid w:val="002A06EC"/>
    <w:pPr>
      <w:keepNext/>
      <w:spacing w:after="0" w:line="240" w:lineRule="auto"/>
      <w:jc w:val="center"/>
      <w:outlineLvl w:val="1"/>
    </w:pPr>
    <w:rPr>
      <w:rFonts w:ascii="Times New Roman" w:eastAsia="Times New Roman" w:hAnsi="Times New Roman" w:cs="Times New Roman"/>
      <w:b/>
      <w:bCs/>
      <w:sz w:val="28"/>
      <w:szCs w:val="24"/>
      <w:lang w:val="es-ES" w:eastAsia="es-ES"/>
    </w:rPr>
  </w:style>
  <w:style w:type="paragraph" w:styleId="Ttulo3">
    <w:name w:val="heading 3"/>
    <w:basedOn w:val="Normal"/>
    <w:next w:val="Normal"/>
    <w:link w:val="Ttulo3Car"/>
    <w:qFormat/>
    <w:rsid w:val="002A06EC"/>
    <w:pPr>
      <w:keepNext/>
      <w:spacing w:after="0" w:line="240" w:lineRule="auto"/>
      <w:ind w:firstLine="708"/>
      <w:jc w:val="both"/>
      <w:outlineLvl w:val="2"/>
    </w:pPr>
    <w:rPr>
      <w:rFonts w:ascii="Times New Roman" w:eastAsia="Times New Roman" w:hAnsi="Times New Roman" w:cs="Times New Roman"/>
      <w:b/>
      <w:bCs/>
      <w:sz w:val="28"/>
      <w:szCs w:val="24"/>
      <w:lang w:val="es-ES" w:eastAsia="es-ES"/>
    </w:rPr>
  </w:style>
  <w:style w:type="paragraph" w:styleId="Ttulo4">
    <w:name w:val="heading 4"/>
    <w:basedOn w:val="Normal"/>
    <w:next w:val="Normal"/>
    <w:link w:val="Ttulo4Car"/>
    <w:qFormat/>
    <w:rsid w:val="002A06EC"/>
    <w:pPr>
      <w:keepNext/>
      <w:spacing w:after="0" w:line="240" w:lineRule="auto"/>
      <w:jc w:val="center"/>
      <w:outlineLvl w:val="3"/>
    </w:pPr>
    <w:rPr>
      <w:rFonts w:ascii="Times New Roman" w:eastAsia="Times New Roman" w:hAnsi="Times New Roman" w:cs="Times New Roman"/>
      <w:sz w:val="28"/>
      <w:szCs w:val="24"/>
      <w:lang w:val="es-ES" w:eastAsia="es-ES"/>
    </w:rPr>
  </w:style>
  <w:style w:type="paragraph" w:styleId="Ttulo5">
    <w:name w:val="heading 5"/>
    <w:basedOn w:val="Normal"/>
    <w:next w:val="Normal"/>
    <w:link w:val="Ttulo5Car"/>
    <w:uiPriority w:val="9"/>
    <w:semiHidden/>
    <w:unhideWhenUsed/>
    <w:qFormat/>
    <w:rsid w:val="00784B2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A06EC"/>
    <w:rPr>
      <w:rFonts w:ascii="Times New Roman" w:eastAsia="Times New Roman" w:hAnsi="Times New Roman" w:cs="Times New Roman"/>
      <w:sz w:val="28"/>
      <w:szCs w:val="24"/>
      <w:lang w:val="es-ES" w:eastAsia="es-ES"/>
    </w:rPr>
  </w:style>
  <w:style w:type="character" w:customStyle="1" w:styleId="Ttulo2Car">
    <w:name w:val="Título 2 Car"/>
    <w:basedOn w:val="Fuentedeprrafopredeter"/>
    <w:link w:val="Ttulo2"/>
    <w:rsid w:val="002A06EC"/>
    <w:rPr>
      <w:rFonts w:ascii="Times New Roman" w:eastAsia="Times New Roman" w:hAnsi="Times New Roman" w:cs="Times New Roman"/>
      <w:b/>
      <w:bCs/>
      <w:sz w:val="28"/>
      <w:szCs w:val="24"/>
      <w:lang w:val="es-ES" w:eastAsia="es-ES"/>
    </w:rPr>
  </w:style>
  <w:style w:type="character" w:customStyle="1" w:styleId="Ttulo3Car">
    <w:name w:val="Título 3 Car"/>
    <w:basedOn w:val="Fuentedeprrafopredeter"/>
    <w:link w:val="Ttulo3"/>
    <w:rsid w:val="002A06EC"/>
    <w:rPr>
      <w:rFonts w:ascii="Times New Roman" w:eastAsia="Times New Roman" w:hAnsi="Times New Roman" w:cs="Times New Roman"/>
      <w:b/>
      <w:bCs/>
      <w:sz w:val="28"/>
      <w:szCs w:val="24"/>
      <w:lang w:val="es-ES" w:eastAsia="es-ES"/>
    </w:rPr>
  </w:style>
  <w:style w:type="character" w:customStyle="1" w:styleId="Ttulo4Car">
    <w:name w:val="Título 4 Car"/>
    <w:basedOn w:val="Fuentedeprrafopredeter"/>
    <w:link w:val="Ttulo4"/>
    <w:rsid w:val="002A06EC"/>
    <w:rPr>
      <w:rFonts w:ascii="Times New Roman" w:eastAsia="Times New Roman" w:hAnsi="Times New Roman" w:cs="Times New Roman"/>
      <w:sz w:val="28"/>
      <w:szCs w:val="24"/>
      <w:lang w:val="es-ES" w:eastAsia="es-ES"/>
    </w:rPr>
  </w:style>
  <w:style w:type="paragraph" w:styleId="Sangradetextonormal">
    <w:name w:val="Body Text Indent"/>
    <w:basedOn w:val="Normal"/>
    <w:link w:val="SangradetextonormalCar"/>
    <w:rsid w:val="002A06EC"/>
    <w:pPr>
      <w:spacing w:after="0" w:line="240" w:lineRule="auto"/>
      <w:ind w:firstLine="708"/>
      <w:jc w:val="both"/>
    </w:pPr>
    <w:rPr>
      <w:rFonts w:ascii="Times New Roman" w:eastAsia="Times New Roman" w:hAnsi="Times New Roman" w:cs="Times New Roman"/>
      <w:sz w:val="28"/>
      <w:szCs w:val="24"/>
      <w:lang w:val="es-ES" w:eastAsia="es-ES"/>
    </w:rPr>
  </w:style>
  <w:style w:type="character" w:customStyle="1" w:styleId="SangradetextonormalCar">
    <w:name w:val="Sangría de texto normal Car"/>
    <w:basedOn w:val="Fuentedeprrafopredeter"/>
    <w:link w:val="Sangradetextonormal"/>
    <w:rsid w:val="002A06EC"/>
    <w:rPr>
      <w:rFonts w:ascii="Times New Roman" w:eastAsia="Times New Roman" w:hAnsi="Times New Roman" w:cs="Times New Roman"/>
      <w:sz w:val="28"/>
      <w:szCs w:val="24"/>
      <w:lang w:val="es-ES" w:eastAsia="es-ES"/>
    </w:rPr>
  </w:style>
  <w:style w:type="character" w:customStyle="1" w:styleId="A6">
    <w:name w:val="A6"/>
    <w:uiPriority w:val="99"/>
    <w:rsid w:val="002A06EC"/>
    <w:rPr>
      <w:b/>
      <w:bCs/>
      <w:color w:val="000000"/>
      <w:sz w:val="18"/>
      <w:szCs w:val="18"/>
    </w:rPr>
  </w:style>
  <w:style w:type="paragraph" w:customStyle="1" w:styleId="Body1">
    <w:name w:val="Body 1"/>
    <w:rsid w:val="002A06EC"/>
    <w:pPr>
      <w:spacing w:after="0" w:line="240" w:lineRule="auto"/>
      <w:outlineLvl w:val="0"/>
    </w:pPr>
    <w:rPr>
      <w:rFonts w:ascii="Arial" w:eastAsia="Arial Unicode MS" w:hAnsi="Arial" w:cs="Times New Roman"/>
      <w:color w:val="000000"/>
      <w:sz w:val="24"/>
      <w:szCs w:val="20"/>
      <w:u w:color="000000"/>
    </w:rPr>
  </w:style>
  <w:style w:type="paragraph" w:styleId="Textodeglobo">
    <w:name w:val="Balloon Text"/>
    <w:basedOn w:val="Normal"/>
    <w:link w:val="TextodegloboCar"/>
    <w:uiPriority w:val="99"/>
    <w:semiHidden/>
    <w:unhideWhenUsed/>
    <w:rsid w:val="003767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76783"/>
    <w:rPr>
      <w:rFonts w:ascii="Tahoma" w:hAnsi="Tahoma" w:cs="Tahoma"/>
      <w:sz w:val="16"/>
      <w:szCs w:val="16"/>
    </w:rPr>
  </w:style>
  <w:style w:type="paragraph" w:styleId="Encabezado">
    <w:name w:val="header"/>
    <w:basedOn w:val="Normal"/>
    <w:link w:val="EncabezadoCar"/>
    <w:uiPriority w:val="99"/>
    <w:unhideWhenUsed/>
    <w:rsid w:val="005E425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E4257"/>
  </w:style>
  <w:style w:type="paragraph" w:styleId="Piedepgina">
    <w:name w:val="footer"/>
    <w:basedOn w:val="Normal"/>
    <w:link w:val="PiedepginaCar"/>
    <w:uiPriority w:val="99"/>
    <w:unhideWhenUsed/>
    <w:rsid w:val="005E425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E4257"/>
  </w:style>
  <w:style w:type="paragraph" w:styleId="Prrafodelista">
    <w:name w:val="List Paragraph"/>
    <w:basedOn w:val="Normal"/>
    <w:uiPriority w:val="34"/>
    <w:qFormat/>
    <w:rsid w:val="00B80D7E"/>
    <w:pPr>
      <w:ind w:left="720"/>
      <w:contextualSpacing/>
    </w:pPr>
  </w:style>
  <w:style w:type="paragraph" w:customStyle="1" w:styleId="Texto">
    <w:name w:val="Texto"/>
    <w:basedOn w:val="Normal"/>
    <w:link w:val="TextoCar"/>
    <w:rsid w:val="00BE3E84"/>
    <w:pPr>
      <w:spacing w:after="101" w:line="216" w:lineRule="exact"/>
      <w:ind w:firstLine="288"/>
      <w:jc w:val="both"/>
    </w:pPr>
    <w:rPr>
      <w:rFonts w:ascii="Arial" w:eastAsia="Times New Roman" w:hAnsi="Arial" w:cs="Arial"/>
      <w:sz w:val="18"/>
      <w:szCs w:val="18"/>
      <w:lang w:eastAsia="es-ES"/>
    </w:rPr>
  </w:style>
  <w:style w:type="character" w:customStyle="1" w:styleId="Ttulo5Car">
    <w:name w:val="Título 5 Car"/>
    <w:basedOn w:val="Fuentedeprrafopredeter"/>
    <w:link w:val="Ttulo5"/>
    <w:uiPriority w:val="99"/>
    <w:rsid w:val="00784B2F"/>
    <w:rPr>
      <w:rFonts w:asciiTheme="majorHAnsi" w:eastAsiaTheme="majorEastAsia" w:hAnsiTheme="majorHAnsi" w:cstheme="majorBidi"/>
      <w:color w:val="243F60" w:themeColor="accent1" w:themeShade="7F"/>
    </w:rPr>
  </w:style>
  <w:style w:type="paragraph" w:styleId="Textonotapie">
    <w:name w:val="footnote text"/>
    <w:aliases w:val="Footnote reference,FA Fu,Footnote Text Char Char Char Char Char,Footnote Text Char Char Char Char, Car3, Car3 Car,Car3,Car3 Car,Footnote Text Char Char Char,Footnote Text Cha,FA Fußnotentext,FA Fuﬂnotentext,Footnote Text Char Char,Ca,Car2"/>
    <w:basedOn w:val="Normal"/>
    <w:link w:val="TextonotapieCar"/>
    <w:uiPriority w:val="99"/>
    <w:unhideWhenUsed/>
    <w:qFormat/>
    <w:rsid w:val="00872122"/>
    <w:pPr>
      <w:spacing w:after="0" w:line="240" w:lineRule="auto"/>
    </w:pPr>
    <w:rPr>
      <w:sz w:val="20"/>
      <w:szCs w:val="20"/>
    </w:rPr>
  </w:style>
  <w:style w:type="character" w:customStyle="1" w:styleId="TextonotapieCar">
    <w:name w:val="Texto nota pie Car"/>
    <w:aliases w:val="Footnote reference Car,FA Fu Car,Footnote Text Char Char Char Char Char Car,Footnote Text Char Char Char Char Car, Car3 Car1, Car3 Car Car,Car3 Car1,Car3 Car Car,Footnote Text Char Char Char Car,Footnote Text Cha Car,Ca Car,Car2 Car"/>
    <w:basedOn w:val="Fuentedeprrafopredeter"/>
    <w:link w:val="Textonotapie"/>
    <w:uiPriority w:val="99"/>
    <w:rsid w:val="00872122"/>
    <w:rPr>
      <w:sz w:val="20"/>
      <w:szCs w:val="20"/>
    </w:rPr>
  </w:style>
  <w:style w:type="character" w:styleId="Refdenotaalpie">
    <w:name w:val="footnote reference"/>
    <w:aliases w:val="Texto de nota al pie,Ref. de nota al pie 2,Footnotes refss,Appel note de bas de page,referencia nota al pie,BVI fnr,Footnote number,f,4_G,16 Point,Superscript 6 Point,Texto nota al pie,Footnote Reference Char3,ftref,julio,Ref,R"/>
    <w:basedOn w:val="Fuentedeprrafopredeter"/>
    <w:link w:val="Char2"/>
    <w:uiPriority w:val="99"/>
    <w:unhideWhenUsed/>
    <w:qFormat/>
    <w:rsid w:val="00872122"/>
    <w:rPr>
      <w:vertAlign w:val="superscript"/>
    </w:rPr>
  </w:style>
  <w:style w:type="character" w:customStyle="1" w:styleId="TextoCar">
    <w:name w:val="Texto Car"/>
    <w:basedOn w:val="Fuentedeprrafopredeter"/>
    <w:link w:val="Texto"/>
    <w:rsid w:val="00615674"/>
    <w:rPr>
      <w:rFonts w:ascii="Arial" w:eastAsia="Times New Roman" w:hAnsi="Arial" w:cs="Arial"/>
      <w:sz w:val="18"/>
      <w:szCs w:val="18"/>
      <w:lang w:eastAsia="es-ES"/>
    </w:rPr>
  </w:style>
  <w:style w:type="character" w:styleId="Hipervnculo">
    <w:name w:val="Hyperlink"/>
    <w:basedOn w:val="Fuentedeprrafopredeter"/>
    <w:uiPriority w:val="99"/>
    <w:unhideWhenUsed/>
    <w:rsid w:val="00F402A4"/>
    <w:rPr>
      <w:color w:val="0000FF" w:themeColor="hyperlink"/>
      <w:u w:val="single"/>
    </w:rPr>
  </w:style>
  <w:style w:type="character" w:styleId="Hipervnculovisitado">
    <w:name w:val="FollowedHyperlink"/>
    <w:basedOn w:val="Fuentedeprrafopredeter"/>
    <w:uiPriority w:val="99"/>
    <w:semiHidden/>
    <w:unhideWhenUsed/>
    <w:rsid w:val="00F402A4"/>
    <w:rPr>
      <w:color w:val="800080" w:themeColor="followedHyperlink"/>
      <w:u w:val="single"/>
    </w:rPr>
  </w:style>
  <w:style w:type="paragraph" w:customStyle="1" w:styleId="Normal0">
    <w:name w:val="[Normal]"/>
    <w:link w:val="NormalCar"/>
    <w:rsid w:val="001D6EEA"/>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basedOn w:val="Fuentedeprrafopredeter"/>
    <w:link w:val="Normal0"/>
    <w:rsid w:val="001D6EEA"/>
    <w:rPr>
      <w:rFonts w:ascii="Arial" w:eastAsia="Times New Roman" w:hAnsi="Arial" w:cs="Arial"/>
      <w:sz w:val="24"/>
      <w:szCs w:val="24"/>
      <w:lang w:val="es-ES" w:eastAsia="es-ES"/>
    </w:rPr>
  </w:style>
  <w:style w:type="character" w:customStyle="1" w:styleId="articulo-texto">
    <w:name w:val="articulo-texto"/>
    <w:basedOn w:val="Fuentedeprrafopredeter"/>
    <w:rsid w:val="002D7D03"/>
  </w:style>
  <w:style w:type="paragraph" w:styleId="NormalWeb">
    <w:name w:val="Normal (Web)"/>
    <w:basedOn w:val="Normal"/>
    <w:uiPriority w:val="99"/>
    <w:semiHidden/>
    <w:unhideWhenUsed/>
    <w:rsid w:val="004A0E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M4">
    <w:name w:val="CM4"/>
    <w:basedOn w:val="Normal"/>
    <w:next w:val="Normal"/>
    <w:uiPriority w:val="99"/>
    <w:rsid w:val="009E087F"/>
    <w:pPr>
      <w:autoSpaceDE w:val="0"/>
      <w:autoSpaceDN w:val="0"/>
      <w:adjustRightInd w:val="0"/>
      <w:spacing w:after="0" w:line="240" w:lineRule="auto"/>
    </w:pPr>
    <w:rPr>
      <w:rFonts w:ascii="Arial" w:eastAsia="Times New Roman" w:hAnsi="Arial" w:cs="Arial"/>
      <w:sz w:val="24"/>
      <w:szCs w:val="24"/>
    </w:rPr>
  </w:style>
  <w:style w:type="paragraph" w:styleId="Subttulo">
    <w:name w:val="Subtitle"/>
    <w:basedOn w:val="Normal"/>
    <w:next w:val="Normal"/>
    <w:link w:val="SubttuloCar"/>
    <w:uiPriority w:val="11"/>
    <w:qFormat/>
    <w:rsid w:val="009E087F"/>
    <w:pPr>
      <w:spacing w:after="60"/>
      <w:jc w:val="center"/>
      <w:outlineLvl w:val="1"/>
    </w:pPr>
    <w:rPr>
      <w:rFonts w:ascii="Calibri Light" w:eastAsia="Times New Roman" w:hAnsi="Calibri Light" w:cs="Times New Roman"/>
      <w:sz w:val="24"/>
      <w:szCs w:val="24"/>
    </w:rPr>
  </w:style>
  <w:style w:type="character" w:customStyle="1" w:styleId="SubttuloCar">
    <w:name w:val="Subtítulo Car"/>
    <w:basedOn w:val="Fuentedeprrafopredeter"/>
    <w:link w:val="Subttulo"/>
    <w:uiPriority w:val="11"/>
    <w:rsid w:val="009E087F"/>
    <w:rPr>
      <w:rFonts w:ascii="Calibri Light" w:eastAsia="Times New Roman" w:hAnsi="Calibri Light" w:cs="Times New Roman"/>
      <w:sz w:val="24"/>
      <w:szCs w:val="24"/>
    </w:rPr>
  </w:style>
  <w:style w:type="paragraph" w:styleId="Sinespaciado">
    <w:name w:val="No Spacing"/>
    <w:link w:val="SinespaciadoCar"/>
    <w:uiPriority w:val="1"/>
    <w:qFormat/>
    <w:rsid w:val="00A54D36"/>
    <w:pPr>
      <w:spacing w:after="0" w:line="240" w:lineRule="auto"/>
    </w:pPr>
    <w:rPr>
      <w:rFonts w:ascii="Times New Roman" w:eastAsia="Times New Roman" w:hAnsi="Times New Roman" w:cs="Times New Roman"/>
      <w:sz w:val="24"/>
      <w:szCs w:val="24"/>
      <w:lang w:val="es-ES" w:eastAsia="es-ES"/>
    </w:rPr>
  </w:style>
  <w:style w:type="character" w:customStyle="1" w:styleId="SinespaciadoCar">
    <w:name w:val="Sin espaciado Car"/>
    <w:link w:val="Sinespaciado"/>
    <w:uiPriority w:val="1"/>
    <w:locked/>
    <w:rsid w:val="00A54D36"/>
    <w:rPr>
      <w:rFonts w:ascii="Times New Roman" w:eastAsia="Times New Roman" w:hAnsi="Times New Roman" w:cs="Times New Roman"/>
      <w:sz w:val="24"/>
      <w:szCs w:val="24"/>
      <w:lang w:val="es-ES" w:eastAsia="es-ES"/>
    </w:rPr>
  </w:style>
  <w:style w:type="character" w:customStyle="1" w:styleId="nacep">
    <w:name w:val="n_acep"/>
    <w:basedOn w:val="Fuentedeprrafopredeter"/>
    <w:rsid w:val="00AA1502"/>
  </w:style>
  <w:style w:type="paragraph" w:customStyle="1" w:styleId="j">
    <w:name w:val="j"/>
    <w:basedOn w:val="Normal"/>
    <w:rsid w:val="00AA150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d">
    <w:name w:val="red"/>
    <w:basedOn w:val="Fuentedeprrafopredeter"/>
    <w:rsid w:val="003228DF"/>
  </w:style>
  <w:style w:type="character" w:styleId="nfasis">
    <w:name w:val="Emphasis"/>
    <w:basedOn w:val="Fuentedeprrafopredeter"/>
    <w:uiPriority w:val="20"/>
    <w:qFormat/>
    <w:rsid w:val="00F2362A"/>
    <w:rPr>
      <w:i/>
      <w:iCs/>
    </w:rPr>
  </w:style>
  <w:style w:type="character" w:customStyle="1" w:styleId="Mencinsinresolver1">
    <w:name w:val="Mención sin resolver1"/>
    <w:basedOn w:val="Fuentedeprrafopredeter"/>
    <w:uiPriority w:val="99"/>
    <w:semiHidden/>
    <w:unhideWhenUsed/>
    <w:rsid w:val="00D92A13"/>
    <w:rPr>
      <w:color w:val="605E5C"/>
      <w:shd w:val="clear" w:color="auto" w:fill="E1DFDD"/>
    </w:rPr>
  </w:style>
  <w:style w:type="paragraph" w:customStyle="1" w:styleId="Cuerpo">
    <w:name w:val="Cuerpo"/>
    <w:rsid w:val="00153C1C"/>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paragraph" w:customStyle="1" w:styleId="Estilo">
    <w:name w:val="Estilo"/>
    <w:basedOn w:val="Sinespaciado"/>
    <w:link w:val="EstiloCar"/>
    <w:qFormat/>
    <w:rsid w:val="002E374C"/>
    <w:pPr>
      <w:jc w:val="both"/>
    </w:pPr>
    <w:rPr>
      <w:rFonts w:ascii="Arial" w:eastAsiaTheme="minorEastAsia" w:hAnsi="Arial" w:cstheme="minorBidi"/>
      <w:szCs w:val="22"/>
      <w:lang w:val="es-MX" w:eastAsia="es-MX"/>
    </w:rPr>
  </w:style>
  <w:style w:type="character" w:customStyle="1" w:styleId="EstiloCar">
    <w:name w:val="Estilo Car"/>
    <w:basedOn w:val="Fuentedeprrafopredeter"/>
    <w:link w:val="Estilo"/>
    <w:rsid w:val="002E374C"/>
    <w:rPr>
      <w:rFonts w:ascii="Arial" w:hAnsi="Arial"/>
      <w:sz w:val="24"/>
    </w:rPr>
  </w:style>
  <w:style w:type="paragraph" w:customStyle="1" w:styleId="corte4fondo">
    <w:name w:val="corte4 fondo"/>
    <w:basedOn w:val="Normal"/>
    <w:link w:val="corte4fondoCar"/>
    <w:qFormat/>
    <w:rsid w:val="002E374C"/>
    <w:pPr>
      <w:spacing w:after="0" w:line="360" w:lineRule="auto"/>
      <w:ind w:firstLine="709"/>
      <w:jc w:val="both"/>
    </w:pPr>
    <w:rPr>
      <w:rFonts w:ascii="Arial" w:eastAsia="Times New Roman" w:hAnsi="Arial" w:cs="Times New Roman"/>
      <w:sz w:val="30"/>
      <w:szCs w:val="20"/>
      <w:lang w:val="es-ES_tradnl" w:eastAsia="es-ES"/>
    </w:rPr>
  </w:style>
  <w:style w:type="character" w:customStyle="1" w:styleId="corte4fondoCar">
    <w:name w:val="corte4 fondo Car"/>
    <w:link w:val="corte4fondo"/>
    <w:locked/>
    <w:rsid w:val="002E374C"/>
    <w:rPr>
      <w:rFonts w:ascii="Arial" w:eastAsia="Times New Roman" w:hAnsi="Arial" w:cs="Times New Roman"/>
      <w:sz w:val="30"/>
      <w:szCs w:val="20"/>
      <w:lang w:val="es-ES_tradnl" w:eastAsia="es-ES"/>
    </w:rPr>
  </w:style>
  <w:style w:type="paragraph" w:customStyle="1" w:styleId="Default">
    <w:name w:val="Default"/>
    <w:rsid w:val="00B72B75"/>
    <w:pPr>
      <w:autoSpaceDE w:val="0"/>
      <w:autoSpaceDN w:val="0"/>
      <w:adjustRightInd w:val="0"/>
      <w:spacing w:after="0" w:line="240" w:lineRule="auto"/>
    </w:pPr>
    <w:rPr>
      <w:rFonts w:ascii="Verdana" w:eastAsia="Times New Roman" w:hAnsi="Verdana" w:cs="Verdana"/>
      <w:color w:val="000000"/>
      <w:sz w:val="24"/>
      <w:szCs w:val="24"/>
    </w:rPr>
  </w:style>
  <w:style w:type="table" w:styleId="Tablaconcuadrcula">
    <w:name w:val="Table Grid"/>
    <w:basedOn w:val="Tablanormal"/>
    <w:uiPriority w:val="39"/>
    <w:rsid w:val="00DB4B2E"/>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ld">
    <w:name w:val="bold"/>
    <w:basedOn w:val="Fuentedeprrafopredeter"/>
    <w:rsid w:val="00E26809"/>
  </w:style>
  <w:style w:type="paragraph" w:customStyle="1" w:styleId="Char2">
    <w:name w:val="Char2"/>
    <w:basedOn w:val="Normal"/>
    <w:link w:val="Refdenotaalpie"/>
    <w:uiPriority w:val="99"/>
    <w:rsid w:val="000757A0"/>
    <w:pPr>
      <w:spacing w:after="160" w:line="240" w:lineRule="exact"/>
    </w:pPr>
    <w:rPr>
      <w:vertAlign w:val="superscript"/>
    </w:rPr>
  </w:style>
  <w:style w:type="paragraph" w:styleId="Textosinformato">
    <w:name w:val="Plain Text"/>
    <w:basedOn w:val="Normal"/>
    <w:link w:val="TextosinformatoCar"/>
    <w:unhideWhenUsed/>
    <w:rsid w:val="00794E6D"/>
    <w:pPr>
      <w:spacing w:after="0" w:line="240" w:lineRule="auto"/>
    </w:pPr>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794E6D"/>
    <w:rPr>
      <w:rFonts w:ascii="Courier New" w:eastAsia="Times New Roman" w:hAnsi="Courier New" w:cs="Times New Roman"/>
      <w:sz w:val="20"/>
      <w:szCs w:val="20"/>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730889">
      <w:bodyDiv w:val="1"/>
      <w:marLeft w:val="0"/>
      <w:marRight w:val="0"/>
      <w:marTop w:val="0"/>
      <w:marBottom w:val="0"/>
      <w:divBdr>
        <w:top w:val="none" w:sz="0" w:space="0" w:color="auto"/>
        <w:left w:val="none" w:sz="0" w:space="0" w:color="auto"/>
        <w:bottom w:val="none" w:sz="0" w:space="0" w:color="auto"/>
        <w:right w:val="none" w:sz="0" w:space="0" w:color="auto"/>
      </w:divBdr>
    </w:div>
    <w:div w:id="87502912">
      <w:bodyDiv w:val="1"/>
      <w:marLeft w:val="0"/>
      <w:marRight w:val="0"/>
      <w:marTop w:val="0"/>
      <w:marBottom w:val="0"/>
      <w:divBdr>
        <w:top w:val="none" w:sz="0" w:space="0" w:color="auto"/>
        <w:left w:val="none" w:sz="0" w:space="0" w:color="auto"/>
        <w:bottom w:val="none" w:sz="0" w:space="0" w:color="auto"/>
        <w:right w:val="none" w:sz="0" w:space="0" w:color="auto"/>
      </w:divBdr>
      <w:divsChild>
        <w:div w:id="947733349">
          <w:marLeft w:val="0"/>
          <w:marRight w:val="0"/>
          <w:marTop w:val="0"/>
          <w:marBottom w:val="20"/>
          <w:divBdr>
            <w:top w:val="none" w:sz="0" w:space="0" w:color="auto"/>
            <w:left w:val="none" w:sz="0" w:space="0" w:color="auto"/>
            <w:bottom w:val="none" w:sz="0" w:space="0" w:color="auto"/>
            <w:right w:val="none" w:sz="0" w:space="0" w:color="auto"/>
          </w:divBdr>
        </w:div>
        <w:div w:id="506672889">
          <w:marLeft w:val="0"/>
          <w:marRight w:val="0"/>
          <w:marTop w:val="0"/>
          <w:marBottom w:val="20"/>
          <w:divBdr>
            <w:top w:val="none" w:sz="0" w:space="0" w:color="auto"/>
            <w:left w:val="none" w:sz="0" w:space="0" w:color="auto"/>
            <w:bottom w:val="none" w:sz="0" w:space="0" w:color="auto"/>
            <w:right w:val="none" w:sz="0" w:space="0" w:color="auto"/>
          </w:divBdr>
        </w:div>
        <w:div w:id="285359308">
          <w:marLeft w:val="0"/>
          <w:marRight w:val="0"/>
          <w:marTop w:val="0"/>
          <w:marBottom w:val="20"/>
          <w:divBdr>
            <w:top w:val="none" w:sz="0" w:space="0" w:color="auto"/>
            <w:left w:val="none" w:sz="0" w:space="0" w:color="auto"/>
            <w:bottom w:val="none" w:sz="0" w:space="0" w:color="auto"/>
            <w:right w:val="none" w:sz="0" w:space="0" w:color="auto"/>
          </w:divBdr>
        </w:div>
        <w:div w:id="1808283268">
          <w:marLeft w:val="0"/>
          <w:marRight w:val="0"/>
          <w:marTop w:val="0"/>
          <w:marBottom w:val="20"/>
          <w:divBdr>
            <w:top w:val="none" w:sz="0" w:space="0" w:color="auto"/>
            <w:left w:val="none" w:sz="0" w:space="0" w:color="auto"/>
            <w:bottom w:val="none" w:sz="0" w:space="0" w:color="auto"/>
            <w:right w:val="none" w:sz="0" w:space="0" w:color="auto"/>
          </w:divBdr>
        </w:div>
        <w:div w:id="1904297253">
          <w:marLeft w:val="0"/>
          <w:marRight w:val="0"/>
          <w:marTop w:val="0"/>
          <w:marBottom w:val="20"/>
          <w:divBdr>
            <w:top w:val="none" w:sz="0" w:space="0" w:color="auto"/>
            <w:left w:val="none" w:sz="0" w:space="0" w:color="auto"/>
            <w:bottom w:val="none" w:sz="0" w:space="0" w:color="auto"/>
            <w:right w:val="none" w:sz="0" w:space="0" w:color="auto"/>
          </w:divBdr>
        </w:div>
        <w:div w:id="1003432129">
          <w:marLeft w:val="0"/>
          <w:marRight w:val="0"/>
          <w:marTop w:val="0"/>
          <w:marBottom w:val="20"/>
          <w:divBdr>
            <w:top w:val="none" w:sz="0" w:space="0" w:color="auto"/>
            <w:left w:val="none" w:sz="0" w:space="0" w:color="auto"/>
            <w:bottom w:val="none" w:sz="0" w:space="0" w:color="auto"/>
            <w:right w:val="none" w:sz="0" w:space="0" w:color="auto"/>
          </w:divBdr>
        </w:div>
      </w:divsChild>
    </w:div>
    <w:div w:id="612858272">
      <w:bodyDiv w:val="1"/>
      <w:marLeft w:val="0"/>
      <w:marRight w:val="0"/>
      <w:marTop w:val="0"/>
      <w:marBottom w:val="0"/>
      <w:divBdr>
        <w:top w:val="none" w:sz="0" w:space="0" w:color="auto"/>
        <w:left w:val="none" w:sz="0" w:space="0" w:color="auto"/>
        <w:bottom w:val="none" w:sz="0" w:space="0" w:color="auto"/>
        <w:right w:val="none" w:sz="0" w:space="0" w:color="auto"/>
      </w:divBdr>
    </w:div>
    <w:div w:id="807011159">
      <w:bodyDiv w:val="1"/>
      <w:marLeft w:val="0"/>
      <w:marRight w:val="0"/>
      <w:marTop w:val="0"/>
      <w:marBottom w:val="0"/>
      <w:divBdr>
        <w:top w:val="none" w:sz="0" w:space="0" w:color="auto"/>
        <w:left w:val="none" w:sz="0" w:space="0" w:color="auto"/>
        <w:bottom w:val="none" w:sz="0" w:space="0" w:color="auto"/>
        <w:right w:val="none" w:sz="0" w:space="0" w:color="auto"/>
      </w:divBdr>
    </w:div>
    <w:div w:id="911702258">
      <w:bodyDiv w:val="1"/>
      <w:marLeft w:val="0"/>
      <w:marRight w:val="0"/>
      <w:marTop w:val="0"/>
      <w:marBottom w:val="0"/>
      <w:divBdr>
        <w:top w:val="none" w:sz="0" w:space="0" w:color="auto"/>
        <w:left w:val="none" w:sz="0" w:space="0" w:color="auto"/>
        <w:bottom w:val="none" w:sz="0" w:space="0" w:color="auto"/>
        <w:right w:val="none" w:sz="0" w:space="0" w:color="auto"/>
      </w:divBdr>
    </w:div>
    <w:div w:id="1005129744">
      <w:bodyDiv w:val="1"/>
      <w:marLeft w:val="0"/>
      <w:marRight w:val="0"/>
      <w:marTop w:val="0"/>
      <w:marBottom w:val="0"/>
      <w:divBdr>
        <w:top w:val="none" w:sz="0" w:space="0" w:color="auto"/>
        <w:left w:val="none" w:sz="0" w:space="0" w:color="auto"/>
        <w:bottom w:val="none" w:sz="0" w:space="0" w:color="auto"/>
        <w:right w:val="none" w:sz="0" w:space="0" w:color="auto"/>
      </w:divBdr>
    </w:div>
    <w:div w:id="1039934711">
      <w:bodyDiv w:val="1"/>
      <w:marLeft w:val="0"/>
      <w:marRight w:val="0"/>
      <w:marTop w:val="0"/>
      <w:marBottom w:val="0"/>
      <w:divBdr>
        <w:top w:val="none" w:sz="0" w:space="0" w:color="auto"/>
        <w:left w:val="none" w:sz="0" w:space="0" w:color="auto"/>
        <w:bottom w:val="none" w:sz="0" w:space="0" w:color="auto"/>
        <w:right w:val="none" w:sz="0" w:space="0" w:color="auto"/>
      </w:divBdr>
    </w:div>
    <w:div w:id="1410300812">
      <w:bodyDiv w:val="1"/>
      <w:marLeft w:val="0"/>
      <w:marRight w:val="0"/>
      <w:marTop w:val="0"/>
      <w:marBottom w:val="0"/>
      <w:divBdr>
        <w:top w:val="none" w:sz="0" w:space="0" w:color="auto"/>
        <w:left w:val="none" w:sz="0" w:space="0" w:color="auto"/>
        <w:bottom w:val="none" w:sz="0" w:space="0" w:color="auto"/>
        <w:right w:val="none" w:sz="0" w:space="0" w:color="auto"/>
      </w:divBdr>
    </w:div>
    <w:div w:id="1634362195">
      <w:bodyDiv w:val="1"/>
      <w:marLeft w:val="0"/>
      <w:marRight w:val="0"/>
      <w:marTop w:val="0"/>
      <w:marBottom w:val="0"/>
      <w:divBdr>
        <w:top w:val="none" w:sz="0" w:space="0" w:color="auto"/>
        <w:left w:val="none" w:sz="0" w:space="0" w:color="auto"/>
        <w:bottom w:val="none" w:sz="0" w:space="0" w:color="auto"/>
        <w:right w:val="none" w:sz="0" w:space="0" w:color="auto"/>
      </w:divBdr>
      <w:divsChild>
        <w:div w:id="8694124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1111142">
      <w:bodyDiv w:val="1"/>
      <w:marLeft w:val="0"/>
      <w:marRight w:val="0"/>
      <w:marTop w:val="0"/>
      <w:marBottom w:val="0"/>
      <w:divBdr>
        <w:top w:val="none" w:sz="0" w:space="0" w:color="auto"/>
        <w:left w:val="none" w:sz="0" w:space="0" w:color="auto"/>
        <w:bottom w:val="none" w:sz="0" w:space="0" w:color="auto"/>
        <w:right w:val="none" w:sz="0" w:space="0" w:color="auto"/>
      </w:divBdr>
    </w:div>
    <w:div w:id="1642802816">
      <w:bodyDiv w:val="1"/>
      <w:marLeft w:val="0"/>
      <w:marRight w:val="0"/>
      <w:marTop w:val="0"/>
      <w:marBottom w:val="0"/>
      <w:divBdr>
        <w:top w:val="none" w:sz="0" w:space="0" w:color="auto"/>
        <w:left w:val="none" w:sz="0" w:space="0" w:color="auto"/>
        <w:bottom w:val="none" w:sz="0" w:space="0" w:color="auto"/>
        <w:right w:val="none" w:sz="0" w:space="0" w:color="auto"/>
      </w:divBdr>
    </w:div>
    <w:div w:id="1890607295">
      <w:bodyDiv w:val="1"/>
      <w:marLeft w:val="0"/>
      <w:marRight w:val="0"/>
      <w:marTop w:val="0"/>
      <w:marBottom w:val="0"/>
      <w:divBdr>
        <w:top w:val="none" w:sz="0" w:space="0" w:color="auto"/>
        <w:left w:val="none" w:sz="0" w:space="0" w:color="auto"/>
        <w:bottom w:val="none" w:sz="0" w:space="0" w:color="auto"/>
        <w:right w:val="none" w:sz="0" w:space="0" w:color="auto"/>
      </w:divBdr>
      <w:divsChild>
        <w:div w:id="601887288">
          <w:blockQuote w:val="1"/>
          <w:marLeft w:val="720"/>
          <w:marRight w:val="720"/>
          <w:marTop w:val="100"/>
          <w:marBottom w:val="100"/>
          <w:divBdr>
            <w:top w:val="none" w:sz="0" w:space="0" w:color="auto"/>
            <w:left w:val="single" w:sz="6" w:space="0" w:color="DDDDDD"/>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noticaribepeninsular.com.mx/frena-obtiene-amparo-para-ingresar-al-zocalo-de-la-cdmx/" TargetMode="External"/><Relationship Id="rId26" Type="http://schemas.openxmlformats.org/officeDocument/2006/relationships/hyperlink" Target="https://latinus.us/2021/10/09/integrantes-frena-marchan-cdmx-revocacion-mandato-amlo/" TargetMode="External"/><Relationship Id="rId39" Type="http://schemas.openxmlformats.org/officeDocument/2006/relationships/hyperlink" Target="http://gaceta.diputados.gob.mx/PDF/65/2022/ago/20220831-III.pdf" TargetMode="External"/><Relationship Id="rId21" Type="http://schemas.openxmlformats.org/officeDocument/2006/relationships/hyperlink" Target="https://www.unotv.com/estados/ciudad-de-mexico/realiza-frena-marcha-por-la-democracia-en-cdmx/" TargetMode="External"/><Relationship Id="rId34" Type="http://schemas.openxmlformats.org/officeDocument/2006/relationships/hyperlink" Target="https://www.m-x.com.mx/investigaciones/sedena-vigilo-a-un-militar-que-participaba-en-el-grupo-opositor-frena" TargetMode="External"/><Relationship Id="rId42" Type="http://schemas.openxmlformats.org/officeDocument/2006/relationships/image" Target="media/image3.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latinus.us/2020/09/19/policia-bloquea-paso-marcha-contra-amlo-zocalo-cdmx/" TargetMode="External"/><Relationship Id="rId29" Type="http://schemas.openxmlformats.org/officeDocument/2006/relationships/hyperlink" Target="https://centralelectoral.ine.mx/2022/04/03/version-estenografica-del-tercer-foro-nacional-de-discusion-sobre-la-revocacion-de-mandat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roceso.com.mx/nacional/estados/2022/10/17/guardia-nacional-dispara-habitantes-de-ocotlan-que-protestaban-por-su-actuacion-lesiona-dos-295264.html" TargetMode="External"/><Relationship Id="rId24" Type="http://schemas.openxmlformats.org/officeDocument/2006/relationships/hyperlink" Target="https://www.eleconomista.com.mx/politica/Frena-regresa-a-las-calles-de-CDMX-para-manifestarse-contra-AMLO-20210321-0022.html" TargetMode="External"/><Relationship Id="rId32" Type="http://schemas.openxmlformats.org/officeDocument/2006/relationships/hyperlink" Target="https://frena.com.mx/2022/09/04/frena-llena-el-zocalo-en-gran-marcha-de-la-paz-y-la-unidad/" TargetMode="External"/><Relationship Id="rId37" Type="http://schemas.openxmlformats.org/officeDocument/2006/relationships/hyperlink" Target="https://www.dof.gob.mx/nota_detalle.php?codigo=5560463&amp;fecha=16/05/2019" TargetMode="External"/><Relationship Id="rId40" Type="http://schemas.openxmlformats.org/officeDocument/2006/relationships/hyperlink" Target="https://www.oas.org/es/cidh/docs/anual/2020/capitulos/IA2020cap5.MX-es.pdf"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animalpolitico.com/2020/09/marcha-contra-amlo-zocalo-policia-impide/" TargetMode="External"/><Relationship Id="rId23" Type="http://schemas.openxmlformats.org/officeDocument/2006/relationships/hyperlink" Target="https://www.proceso.com.mx/nacional/politica/2021/3/21/frena-realiza-un-juicio-ciudadano-contra-amlo-lo-declara-culpable-de-15-delitos-260468.html" TargetMode="External"/><Relationship Id="rId28" Type="http://schemas.openxmlformats.org/officeDocument/2006/relationships/hyperlink" Target="https://centralelectoral.ine.mx/2022/03/31/version-estenografica-del-segundo-foro-nacional-de-discusion-sobre-la-revocacion-de-mandato/" TargetMode="External"/><Relationship Id="rId36" Type="http://schemas.openxmlformats.org/officeDocument/2006/relationships/hyperlink" Target="https://worldjusticeproject.org/sites/default/files/documents/WJP-Global-ROLI-Spanish.pdf" TargetMode="External"/><Relationship Id="rId10" Type="http://schemas.openxmlformats.org/officeDocument/2006/relationships/hyperlink" Target="https://www.informador.mx/jalisco/Balacera-en-Ocotlan-Guardia-Nacional-admite-que-disparo-contra-manifestantes-en-ese-municipio-20221016-0077.html" TargetMode="External"/><Relationship Id="rId19" Type="http://schemas.openxmlformats.org/officeDocument/2006/relationships/hyperlink" Target="https://www.animalpolitico.com/2020/09/frena-amparo-juez-campamento-zocalo-amlo/" TargetMode="External"/><Relationship Id="rId31" Type="http://schemas.openxmlformats.org/officeDocument/2006/relationships/hyperlink" Target="https://frena.com.mx/2022/09/01/frena-gana-amparo-en-tribunal-colegiado-al-presidente-de-mexico-secretario-de-la-defensa-y-secretaria-de-seguridad-ciudadana/"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f.gob.mx/nota_detalle.php?codigo=5664065&amp;fecha=09/09/2022" TargetMode="External"/><Relationship Id="rId14" Type="http://schemas.openxmlformats.org/officeDocument/2006/relationships/hyperlink" Target="https://www.unotv.com/estados/ciudad-de-mexico/cdmx-cumple-frena-cuarto-mes-de-manifestaciones-antiamlo/" TargetMode="External"/><Relationship Id="rId22" Type="http://schemas.openxmlformats.org/officeDocument/2006/relationships/hyperlink" Target="https://aristeguinoticias.com/2111/mexico/frena-marcha-sobre-reforma-por-el-gran-despertar-de-mexico-fotos-y-videos/" TargetMode="External"/><Relationship Id="rId27" Type="http://schemas.openxmlformats.org/officeDocument/2006/relationships/hyperlink" Target="https://centralelectoral.ine.mx/2022/03/25/version-estenografica-del-primer-foro-nacional-de-discusion-sobre-la-revocacion-de-mandato/" TargetMode="External"/><Relationship Id="rId30" Type="http://schemas.openxmlformats.org/officeDocument/2006/relationships/hyperlink" Target="https://www.debate.com.mx/politica/Protesta-Frena-frente-al-Senado-para-exigir-juicio-politico-contra-AMLO-20220713-0200.html" TargetMode="External"/><Relationship Id="rId35" Type="http://schemas.openxmlformats.org/officeDocument/2006/relationships/hyperlink" Target="https://www.cndh.org.mx/tipo/1/recomendacion" TargetMode="External"/><Relationship Id="rId43" Type="http://schemas.openxmlformats.org/officeDocument/2006/relationships/hyperlink" Target="https://dof.gob.mx/nota_detalle.php?codigo=5664065&amp;fecha=09/09/2022"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www.cjf.gob.mx/transparencia/paginas/diasinhabiles.htm" TargetMode="External"/><Relationship Id="rId17" Type="http://schemas.openxmlformats.org/officeDocument/2006/relationships/hyperlink" Target="https://politica.expansion.mx/mexico/2020/09/23/el-frena-ingresa-zocalo-cdmx" TargetMode="External"/><Relationship Id="rId25" Type="http://schemas.openxmlformats.org/officeDocument/2006/relationships/hyperlink" Target="https://www.tvazteca.com/aztecanoticias/frena-presenta-primera-demanda-para-proceder-penalmente-contra-amlo-nr" TargetMode="External"/><Relationship Id="rId33" Type="http://schemas.openxmlformats.org/officeDocument/2006/relationships/hyperlink" Target="https://latinus.us/2022/09/03/no-militarizacion-cierran-reforma-marcha-gobierno-amlo/" TargetMode="External"/><Relationship Id="rId38" Type="http://schemas.openxmlformats.org/officeDocument/2006/relationships/hyperlink" Target="https://dof.gob.mx/nota_detalle.php?codigo=5596028&amp;fecha=02/07/2020" TargetMode="External"/><Relationship Id="rId20" Type="http://schemas.openxmlformats.org/officeDocument/2006/relationships/hyperlink" Target="https://politica.expansion.mx/mexico/2020/10/03/el-frena-marcha-en-la-cdmx-para-exigir-la-salida-de-amlo-zocalo" TargetMode="External"/><Relationship Id="rId41" Type="http://schemas.openxmlformats.org/officeDocument/2006/relationships/hyperlink" Target="https://worldjusticeproject.org/sites/default/files/documents/WJP-Global-ROLI-Spanish.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vozdeamerica.com/a/mexico-guardia-nacional-involucrada-en-muerte-de-migrante-cubano/6296321.html" TargetMode="External"/><Relationship Id="rId13" Type="http://schemas.openxmlformats.org/officeDocument/2006/relationships/hyperlink" Target="https://www.scjn.gob.mx/sites/default/files/estrado_electronico_notificaciones/documento/2018-08/SENTENCIA-EXP-VARIOS-912-2010-PLENO.pdf" TargetMode="External"/><Relationship Id="rId18" Type="http://schemas.openxmlformats.org/officeDocument/2006/relationships/hyperlink" Target="https://www.cndh.org.mx/sites/default/files/documentos/2019-07/Acc_Inc_2016_64.pdf" TargetMode="External"/><Relationship Id="rId3" Type="http://schemas.openxmlformats.org/officeDocument/2006/relationships/hyperlink" Target="https://frena.com.mx/2022/09/04/frena-llena-el-zocalo-en-gran-marcha-de-la-paz-y-la-unidad/" TargetMode="External"/><Relationship Id="rId21" Type="http://schemas.openxmlformats.org/officeDocument/2006/relationships/hyperlink" Target="https://frena.com.mx/2022/10/09/mexico-harto-de-mentiras-corrupcion-y-traiciones-de-la-bestia/" TargetMode="External"/><Relationship Id="rId7" Type="http://schemas.openxmlformats.org/officeDocument/2006/relationships/hyperlink" Target="https://politica.expansion.mx/mexico/2022/04/29/quien-es-angel-yael-asesinado-guardia-nacional" TargetMode="External"/><Relationship Id="rId12" Type="http://schemas.openxmlformats.org/officeDocument/2006/relationships/hyperlink" Target="https://politica.expansion.mx/mexico/2020/05/12/fuerzas-armadas-en-las-calles-la-continuacion-de-una-estrategia-fallida" TargetMode="External"/><Relationship Id="rId17" Type="http://schemas.openxmlformats.org/officeDocument/2006/relationships/hyperlink" Target="https://eljuegodelacorte.nexos.com.mx/?p=11524" TargetMode="External"/><Relationship Id="rId2" Type="http://schemas.openxmlformats.org/officeDocument/2006/relationships/hyperlink" Target="https://dof.gob.mx/nota_detalle.php?codigo=5664065&amp;fecha=09/09/2022" TargetMode="External"/><Relationship Id="rId16" Type="http://schemas.openxmlformats.org/officeDocument/2006/relationships/hyperlink" Target="https://www.inegi.org.mx/temas/incidencia/" TargetMode="External"/><Relationship Id="rId20" Type="http://schemas.openxmlformats.org/officeDocument/2006/relationships/hyperlink" Target="https://eljuegodelacorte.nexos.com.mx/?p=11524" TargetMode="External"/><Relationship Id="rId1" Type="http://schemas.openxmlformats.org/officeDocument/2006/relationships/hyperlink" Target="https://frena.com.mx/" TargetMode="External"/><Relationship Id="rId6" Type="http://schemas.openxmlformats.org/officeDocument/2006/relationships/hyperlink" Target="https://www.elheraldodechihuahua.com.mx/local/chihuahua/cronologia-del-homicidio-de-jessi-silva-que-paso-el-8-de-septiembre-del-2020-8863840.html" TargetMode="External"/><Relationship Id="rId11" Type="http://schemas.openxmlformats.org/officeDocument/2006/relationships/hyperlink" Target="https://www.oas.org/es/cidh/informes/IA.asp?Year=2020" TargetMode="External"/><Relationship Id="rId5" Type="http://schemas.openxmlformats.org/officeDocument/2006/relationships/hyperlink" Target="https://www.iidh.ed.cr/IIDH/media/1632/revista-iidh51.pdf" TargetMode="External"/><Relationship Id="rId15" Type="http://schemas.openxmlformats.org/officeDocument/2006/relationships/hyperlink" Target="http://www.corteidh.or.cr/docs/casos/articulos/seriec_370_esp.pdf" TargetMode="External"/><Relationship Id="rId10" Type="http://schemas.openxmlformats.org/officeDocument/2006/relationships/hyperlink" Target="http://www.consilium.europa.eu/uedocs/cmsUpload/16332-re02.es08.pdf" TargetMode="External"/><Relationship Id="rId19" Type="http://schemas.openxmlformats.org/officeDocument/2006/relationships/hyperlink" Target="https://www.nexos.com.mx/?p=48138&amp;fbclid=IwAR3y9hpZlU5CWdmhzn14331CQobA9YVhlPdwf7pGuRGoV9Sx7x8LIg4UX4c" TargetMode="External"/><Relationship Id="rId4" Type="http://schemas.openxmlformats.org/officeDocument/2006/relationships/hyperlink" Target="https://latinus.us/2022/09/03/no-militarizacion-cierran-reforma-marcha-gobierno-amlo/" TargetMode="External"/><Relationship Id="rId9" Type="http://schemas.openxmlformats.org/officeDocument/2006/relationships/hyperlink" Target="http://www.ohchr.org/EN/Issues/SRHRDefenders/Pages/Defender.aspx" TargetMode="External"/><Relationship Id="rId14" Type="http://schemas.openxmlformats.org/officeDocument/2006/relationships/hyperlink" Target="http://www.corteidh.or.cr/docs/casos/articulos/seriec_220_esp.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D3833D-E178-445F-90F6-26E7ABE14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12338</TotalTime>
  <Pages>1</Pages>
  <Words>35019</Words>
  <Characters>192607</Characters>
  <Application>Microsoft Office Word</Application>
  <DocSecurity>0</DocSecurity>
  <Lines>1605</Lines>
  <Paragraphs>454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227172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ZAVALA LOPEZ, DIEGO GABRIEL</cp:lastModifiedBy>
  <cp:revision>1039</cp:revision>
  <cp:lastPrinted>2017-05-15T16:20:00Z</cp:lastPrinted>
  <dcterms:created xsi:type="dcterms:W3CDTF">2014-08-04T00:00:00Z</dcterms:created>
  <dcterms:modified xsi:type="dcterms:W3CDTF">2022-10-20T12:26:00Z</dcterms:modified>
</cp:coreProperties>
</file>